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4D" w:rsidRPr="00A40441" w:rsidRDefault="004B494D" w:rsidP="004B494D">
      <w:pPr>
        <w:pStyle w:val="1"/>
        <w:ind w:left="-540"/>
        <w:jc w:val="center"/>
        <w:outlineLvl w:val="0"/>
        <w:rPr>
          <w:b/>
          <w:sz w:val="28"/>
          <w:szCs w:val="28"/>
        </w:rPr>
      </w:pPr>
      <w:r w:rsidRPr="00A40441">
        <w:rPr>
          <w:b/>
          <w:sz w:val="28"/>
          <w:szCs w:val="28"/>
        </w:rPr>
        <w:t>НАЦІОНАЛЬНА КОМІСІЯ З ЦІННИХ ПАПЕРІВ ТА ФОНДОВОГО РИНКУ</w:t>
      </w:r>
    </w:p>
    <w:p w:rsidR="004B494D" w:rsidRPr="00A40441" w:rsidRDefault="004B494D" w:rsidP="004B494D">
      <w:pPr>
        <w:pStyle w:val="a3"/>
        <w:ind w:left="-540"/>
        <w:rPr>
          <w:szCs w:val="28"/>
        </w:rPr>
      </w:pPr>
    </w:p>
    <w:p w:rsidR="004B494D" w:rsidRPr="00A40441" w:rsidRDefault="004B494D" w:rsidP="004B494D">
      <w:pPr>
        <w:pStyle w:val="a3"/>
        <w:ind w:left="-540"/>
        <w:jc w:val="center"/>
        <w:rPr>
          <w:b/>
          <w:szCs w:val="28"/>
          <w:lang w:val="uk-UA"/>
        </w:rPr>
      </w:pPr>
      <w:proofErr w:type="gramStart"/>
      <w:r w:rsidRPr="00A40441">
        <w:rPr>
          <w:b/>
          <w:szCs w:val="28"/>
        </w:rPr>
        <w:t>П</w:t>
      </w:r>
      <w:proofErr w:type="gramEnd"/>
      <w:r w:rsidRPr="00A40441">
        <w:rPr>
          <w:b/>
          <w:szCs w:val="28"/>
        </w:rPr>
        <w:t xml:space="preserve"> О С Т А Н О В А №</w:t>
      </w:r>
      <w:r w:rsidR="0062134A">
        <w:rPr>
          <w:b/>
          <w:szCs w:val="28"/>
          <w:lang w:val="uk-UA"/>
        </w:rPr>
        <w:t>132</w:t>
      </w:r>
      <w:r w:rsidRPr="00A40441">
        <w:rPr>
          <w:b/>
          <w:szCs w:val="28"/>
          <w:lang w:val="uk-UA"/>
        </w:rPr>
        <w:t>-</w:t>
      </w:r>
      <w:r w:rsidR="00BC44F5">
        <w:rPr>
          <w:b/>
          <w:szCs w:val="28"/>
          <w:lang w:val="uk-UA"/>
        </w:rPr>
        <w:t>ДП-КУА</w:t>
      </w:r>
    </w:p>
    <w:p w:rsidR="004B494D" w:rsidRPr="00A40441" w:rsidRDefault="004B494D" w:rsidP="004B494D">
      <w:pPr>
        <w:pStyle w:val="21"/>
        <w:ind w:left="-540" w:firstLine="0"/>
        <w:jc w:val="center"/>
        <w:rPr>
          <w:b/>
          <w:szCs w:val="28"/>
          <w:lang w:val="uk-UA"/>
        </w:rPr>
      </w:pPr>
    </w:p>
    <w:p w:rsidR="004B494D" w:rsidRPr="00A40441" w:rsidRDefault="00001297" w:rsidP="004B494D">
      <w:pPr>
        <w:pStyle w:val="21"/>
        <w:ind w:left="-540" w:firstLine="0"/>
        <w:jc w:val="center"/>
        <w:rPr>
          <w:b/>
          <w:szCs w:val="28"/>
          <w:lang w:val="uk-UA"/>
        </w:rPr>
      </w:pPr>
      <w:r w:rsidRPr="00A40441">
        <w:rPr>
          <w:b/>
          <w:szCs w:val="28"/>
          <w:lang w:val="uk-UA"/>
        </w:rPr>
        <w:t>про закриття справи про</w:t>
      </w:r>
      <w:r w:rsidR="004B494D" w:rsidRPr="00A40441">
        <w:rPr>
          <w:b/>
          <w:szCs w:val="28"/>
          <w:lang w:val="uk-UA"/>
        </w:rPr>
        <w:t xml:space="preserve"> правопорушення на </w:t>
      </w:r>
      <w:r w:rsidR="00127FA5" w:rsidRPr="00A40441">
        <w:rPr>
          <w:b/>
          <w:szCs w:val="28"/>
          <w:lang w:val="uk-UA"/>
        </w:rPr>
        <w:t>ринках капіталу</w:t>
      </w:r>
    </w:p>
    <w:p w:rsidR="004B494D" w:rsidRPr="00A40441" w:rsidRDefault="004B494D" w:rsidP="004B494D">
      <w:pPr>
        <w:pStyle w:val="21"/>
        <w:ind w:left="-540" w:right="-284" w:firstLine="0"/>
        <w:rPr>
          <w:szCs w:val="28"/>
          <w:lang w:val="uk-UA"/>
        </w:rPr>
      </w:pPr>
    </w:p>
    <w:p w:rsidR="004B494D" w:rsidRPr="00A40441" w:rsidRDefault="004B494D" w:rsidP="004B494D">
      <w:pPr>
        <w:pStyle w:val="21"/>
        <w:ind w:left="-540" w:right="-284" w:firstLine="0"/>
        <w:jc w:val="center"/>
        <w:rPr>
          <w:b/>
          <w:szCs w:val="28"/>
          <w:lang w:val="uk-UA"/>
        </w:rPr>
      </w:pPr>
      <w:r w:rsidRPr="00A40441">
        <w:rPr>
          <w:b/>
          <w:szCs w:val="28"/>
          <w:lang w:val="uk-UA"/>
        </w:rPr>
        <w:t xml:space="preserve">      </w:t>
      </w:r>
      <w:r w:rsidRPr="00A40441">
        <w:rPr>
          <w:b/>
          <w:szCs w:val="28"/>
          <w:lang w:val="uk-UA"/>
        </w:rPr>
        <w:tab/>
        <w:t>м. Київ</w:t>
      </w:r>
      <w:r w:rsidRPr="00A40441">
        <w:rPr>
          <w:b/>
          <w:szCs w:val="28"/>
          <w:lang w:val="uk-UA"/>
        </w:rPr>
        <w:tab/>
      </w:r>
      <w:r w:rsidRPr="00A40441">
        <w:rPr>
          <w:b/>
          <w:szCs w:val="28"/>
          <w:lang w:val="uk-UA"/>
        </w:rPr>
        <w:tab/>
      </w:r>
      <w:r w:rsidRPr="00A40441">
        <w:rPr>
          <w:b/>
          <w:szCs w:val="28"/>
          <w:lang w:val="uk-UA"/>
        </w:rPr>
        <w:tab/>
      </w:r>
      <w:r w:rsidRPr="00A40441">
        <w:rPr>
          <w:b/>
          <w:szCs w:val="28"/>
          <w:lang w:val="uk-UA"/>
        </w:rPr>
        <w:tab/>
      </w:r>
      <w:r w:rsidRPr="00A40441">
        <w:rPr>
          <w:b/>
          <w:szCs w:val="28"/>
          <w:lang w:val="uk-UA"/>
        </w:rPr>
        <w:tab/>
      </w:r>
      <w:r w:rsidRPr="00A40441">
        <w:rPr>
          <w:b/>
          <w:szCs w:val="28"/>
          <w:lang w:val="uk-UA"/>
        </w:rPr>
        <w:tab/>
      </w:r>
      <w:r w:rsidRPr="00A40441">
        <w:rPr>
          <w:b/>
          <w:szCs w:val="28"/>
          <w:lang w:val="uk-UA"/>
        </w:rPr>
        <w:tab/>
      </w:r>
      <w:r w:rsidR="00BA5042" w:rsidRPr="00A40441">
        <w:rPr>
          <w:b/>
          <w:szCs w:val="28"/>
          <w:lang w:val="uk-UA"/>
        </w:rPr>
        <w:t xml:space="preserve">        </w:t>
      </w:r>
      <w:r w:rsidR="0062134A">
        <w:rPr>
          <w:b/>
          <w:szCs w:val="28"/>
          <w:lang w:val="uk-UA"/>
        </w:rPr>
        <w:t>12</w:t>
      </w:r>
      <w:r w:rsidR="00BA5042" w:rsidRPr="00A40441">
        <w:rPr>
          <w:b/>
          <w:szCs w:val="28"/>
          <w:lang w:val="uk-UA"/>
        </w:rPr>
        <w:t xml:space="preserve"> </w:t>
      </w:r>
      <w:r w:rsidR="0062134A">
        <w:rPr>
          <w:b/>
          <w:szCs w:val="28"/>
          <w:lang w:val="uk-UA"/>
        </w:rPr>
        <w:t>травня</w:t>
      </w:r>
      <w:r w:rsidR="00BA5042" w:rsidRPr="00A40441">
        <w:rPr>
          <w:b/>
          <w:szCs w:val="28"/>
          <w:lang w:val="uk-UA"/>
        </w:rPr>
        <w:t xml:space="preserve"> 2021</w:t>
      </w:r>
      <w:r w:rsidRPr="00A40441">
        <w:rPr>
          <w:b/>
          <w:szCs w:val="28"/>
          <w:lang w:val="uk-UA"/>
        </w:rPr>
        <w:t xml:space="preserve"> року</w:t>
      </w:r>
    </w:p>
    <w:p w:rsidR="00C8797C" w:rsidRPr="00A40441" w:rsidRDefault="00C8797C" w:rsidP="00C8797C">
      <w:pPr>
        <w:tabs>
          <w:tab w:val="left" w:pos="0"/>
        </w:tabs>
        <w:jc w:val="both"/>
        <w:rPr>
          <w:b/>
          <w:sz w:val="28"/>
          <w:szCs w:val="28"/>
        </w:rPr>
      </w:pPr>
    </w:p>
    <w:p w:rsidR="0062134A" w:rsidRPr="0062134A" w:rsidRDefault="009907AA" w:rsidP="0062134A">
      <w:pPr>
        <w:ind w:firstLine="708"/>
        <w:jc w:val="both"/>
        <w:rPr>
          <w:sz w:val="28"/>
          <w:szCs w:val="28"/>
        </w:rPr>
      </w:pPr>
      <w:r w:rsidRPr="00A40441">
        <w:rPr>
          <w:bCs/>
          <w:iCs/>
          <w:spacing w:val="-2"/>
          <w:sz w:val="28"/>
          <w:szCs w:val="28"/>
        </w:rPr>
        <w:t xml:space="preserve">Я, </w:t>
      </w:r>
      <w:r w:rsidRPr="00A40441">
        <w:rPr>
          <w:sz w:val="28"/>
          <w:szCs w:val="28"/>
        </w:rPr>
        <w:t xml:space="preserve">уповноважена особа Національної комісії з цінних паперів та фондового ринку (далі - Комісія) – член Комісії  </w:t>
      </w:r>
      <w:r w:rsidR="002772C4" w:rsidRPr="00A40441">
        <w:rPr>
          <w:sz w:val="28"/>
          <w:szCs w:val="28"/>
        </w:rPr>
        <w:t xml:space="preserve"> </w:t>
      </w:r>
      <w:r w:rsidR="0062134A">
        <w:rPr>
          <w:sz w:val="28"/>
          <w:szCs w:val="28"/>
        </w:rPr>
        <w:t>Бойко Ю. Ю.</w:t>
      </w:r>
      <w:r w:rsidR="002950C4" w:rsidRPr="00A40441">
        <w:rPr>
          <w:sz w:val="28"/>
          <w:szCs w:val="28"/>
        </w:rPr>
        <w:t>,</w:t>
      </w:r>
      <w:r w:rsidRPr="00A40441">
        <w:rPr>
          <w:sz w:val="28"/>
          <w:szCs w:val="28"/>
        </w:rPr>
        <w:t xml:space="preserve"> на підставі доручення Голови Комісії </w:t>
      </w:r>
      <w:r w:rsidR="00404748">
        <w:rPr>
          <w:sz w:val="28"/>
          <w:szCs w:val="28"/>
        </w:rPr>
        <w:t xml:space="preserve"> </w:t>
      </w:r>
      <w:proofErr w:type="spellStart"/>
      <w:r w:rsidR="00404748">
        <w:rPr>
          <w:sz w:val="28"/>
          <w:szCs w:val="28"/>
        </w:rPr>
        <w:t>Магомедова</w:t>
      </w:r>
      <w:proofErr w:type="spellEnd"/>
      <w:r w:rsidR="00404748">
        <w:rPr>
          <w:sz w:val="28"/>
          <w:szCs w:val="28"/>
        </w:rPr>
        <w:t xml:space="preserve"> Р. С.</w:t>
      </w:r>
      <w:r w:rsidRPr="00A40441">
        <w:rPr>
          <w:sz w:val="28"/>
          <w:szCs w:val="28"/>
        </w:rPr>
        <w:t xml:space="preserve"> від </w:t>
      </w:r>
      <w:r w:rsidR="0062134A">
        <w:rPr>
          <w:sz w:val="28"/>
          <w:szCs w:val="28"/>
        </w:rPr>
        <w:t>16</w:t>
      </w:r>
      <w:r w:rsidR="00BA5042" w:rsidRPr="00A40441">
        <w:rPr>
          <w:sz w:val="28"/>
          <w:szCs w:val="28"/>
        </w:rPr>
        <w:t>.</w:t>
      </w:r>
      <w:r w:rsidR="0062134A">
        <w:rPr>
          <w:sz w:val="28"/>
          <w:szCs w:val="28"/>
        </w:rPr>
        <w:t>04</w:t>
      </w:r>
      <w:r w:rsidR="00BA5042" w:rsidRPr="00A40441">
        <w:rPr>
          <w:sz w:val="28"/>
          <w:szCs w:val="28"/>
        </w:rPr>
        <w:t>.202</w:t>
      </w:r>
      <w:r w:rsidR="002772C4" w:rsidRPr="00A40441">
        <w:rPr>
          <w:sz w:val="28"/>
          <w:szCs w:val="28"/>
        </w:rPr>
        <w:t>1</w:t>
      </w:r>
      <w:r w:rsidR="00BA5042" w:rsidRPr="00A40441">
        <w:rPr>
          <w:sz w:val="28"/>
          <w:szCs w:val="28"/>
        </w:rPr>
        <w:t xml:space="preserve">  №</w:t>
      </w:r>
      <w:r w:rsidR="0062134A">
        <w:rPr>
          <w:sz w:val="28"/>
          <w:szCs w:val="28"/>
        </w:rPr>
        <w:t>99</w:t>
      </w:r>
      <w:r w:rsidRPr="00A40441">
        <w:rPr>
          <w:sz w:val="28"/>
          <w:szCs w:val="28"/>
        </w:rPr>
        <w:t>-ДП-</w:t>
      </w:r>
      <w:r w:rsidR="00BC44F5">
        <w:rPr>
          <w:sz w:val="28"/>
          <w:szCs w:val="28"/>
        </w:rPr>
        <w:t>КУА</w:t>
      </w:r>
      <w:r w:rsidRPr="00A40441">
        <w:rPr>
          <w:sz w:val="28"/>
          <w:szCs w:val="28"/>
        </w:rPr>
        <w:t xml:space="preserve">, </w:t>
      </w:r>
      <w:r w:rsidR="00BC44F5" w:rsidRPr="008262AD">
        <w:rPr>
          <w:sz w:val="28"/>
          <w:szCs w:val="28"/>
        </w:rPr>
        <w:t xml:space="preserve">розглянувши </w:t>
      </w:r>
      <w:r w:rsidR="00BC44F5" w:rsidRPr="00BC44F5">
        <w:rPr>
          <w:sz w:val="28"/>
          <w:szCs w:val="28"/>
        </w:rPr>
        <w:t xml:space="preserve">у присутності  </w:t>
      </w:r>
      <w:r w:rsidR="0062134A">
        <w:rPr>
          <w:sz w:val="28"/>
          <w:szCs w:val="28"/>
        </w:rPr>
        <w:t xml:space="preserve"> представника </w:t>
      </w:r>
      <w:r w:rsidR="00BC44F5" w:rsidRPr="00BC44F5">
        <w:rPr>
          <w:sz w:val="28"/>
          <w:szCs w:val="28"/>
        </w:rPr>
        <w:t xml:space="preserve">юридичної особи  </w:t>
      </w:r>
      <w:r w:rsidR="00BC44F5">
        <w:rPr>
          <w:sz w:val="28"/>
          <w:szCs w:val="28"/>
        </w:rPr>
        <w:t xml:space="preserve"> </w:t>
      </w:r>
      <w:r w:rsidR="0062134A">
        <w:rPr>
          <w:sz w:val="28"/>
          <w:szCs w:val="28"/>
        </w:rPr>
        <w:t xml:space="preserve"> </w:t>
      </w:r>
      <w:proofErr w:type="spellStart"/>
      <w:r w:rsidR="0062134A">
        <w:rPr>
          <w:sz w:val="28"/>
          <w:szCs w:val="28"/>
        </w:rPr>
        <w:t>Токман</w:t>
      </w:r>
      <w:proofErr w:type="spellEnd"/>
      <w:r w:rsidR="0062134A">
        <w:rPr>
          <w:sz w:val="28"/>
          <w:szCs w:val="28"/>
        </w:rPr>
        <w:t xml:space="preserve"> Т. В. (за довіреністю)</w:t>
      </w:r>
      <w:r w:rsidR="00BC44F5">
        <w:rPr>
          <w:sz w:val="28"/>
          <w:szCs w:val="28"/>
        </w:rPr>
        <w:t xml:space="preserve"> </w:t>
      </w:r>
      <w:r w:rsidR="00BC44F5" w:rsidRPr="008262AD">
        <w:rPr>
          <w:sz w:val="28"/>
          <w:szCs w:val="28"/>
        </w:rPr>
        <w:t xml:space="preserve"> матеріали справи про правопорушення на ринках капіталу, у відношенні</w:t>
      </w:r>
      <w:r w:rsidR="00BC44F5">
        <w:rPr>
          <w:sz w:val="28"/>
          <w:szCs w:val="28"/>
        </w:rPr>
        <w:t xml:space="preserve">  </w:t>
      </w:r>
      <w:r w:rsidR="0062134A" w:rsidRPr="0062134A">
        <w:rPr>
          <w:sz w:val="28"/>
          <w:szCs w:val="28"/>
        </w:rPr>
        <w:t>товариства з обмеженою відповідальністю «Компанія з управління активами «СВОП», (далі – ТОВ «</w:t>
      </w:r>
      <w:proofErr w:type="spellStart"/>
      <w:r w:rsidR="0062134A" w:rsidRPr="0062134A">
        <w:rPr>
          <w:sz w:val="28"/>
          <w:szCs w:val="28"/>
        </w:rPr>
        <w:t>КУА</w:t>
      </w:r>
      <w:proofErr w:type="spellEnd"/>
      <w:r w:rsidR="0062134A" w:rsidRPr="0062134A">
        <w:rPr>
          <w:sz w:val="28"/>
          <w:szCs w:val="28"/>
        </w:rPr>
        <w:t xml:space="preserve"> «СВОП», Товариство), ліцензія на провадження професійної діяльності на фондовому ринку – діяльність з управління активами інституційних інвесторів (діяльність з управління активами), місцезнаходження: 03124, м. Київ, бульвар Вацлава Гавела, буд. 8, ідентифікаційний код юридичної особи 32523934,  </w:t>
      </w:r>
    </w:p>
    <w:p w:rsidR="00BC44F5" w:rsidRPr="00533E14" w:rsidRDefault="0062134A" w:rsidP="00BC44F5">
      <w:pPr>
        <w:ind w:firstLine="708"/>
        <w:jc w:val="both"/>
        <w:rPr>
          <w:sz w:val="28"/>
          <w:szCs w:val="28"/>
        </w:rPr>
      </w:pPr>
      <w:r>
        <w:rPr>
          <w:sz w:val="28"/>
          <w:szCs w:val="28"/>
        </w:rPr>
        <w:t xml:space="preserve"> </w:t>
      </w:r>
    </w:p>
    <w:p w:rsidR="00BC44F5" w:rsidRPr="0062134A" w:rsidRDefault="00BC44F5" w:rsidP="0062134A">
      <w:pPr>
        <w:jc w:val="center"/>
        <w:rPr>
          <w:sz w:val="28"/>
          <w:szCs w:val="28"/>
        </w:rPr>
      </w:pPr>
      <w:r w:rsidRPr="008262AD">
        <w:rPr>
          <w:b/>
          <w:sz w:val="28"/>
          <w:szCs w:val="28"/>
        </w:rPr>
        <w:t>в с т а н о в и в:</w:t>
      </w:r>
    </w:p>
    <w:p w:rsidR="00BC44F5" w:rsidRDefault="00BC44F5" w:rsidP="00BC44F5">
      <w:pPr>
        <w:jc w:val="center"/>
        <w:rPr>
          <w:b/>
          <w:sz w:val="28"/>
          <w:szCs w:val="28"/>
        </w:rPr>
      </w:pPr>
    </w:p>
    <w:p w:rsidR="00BC44F5" w:rsidRPr="008262AD" w:rsidRDefault="00BC44F5" w:rsidP="00BC44F5">
      <w:pPr>
        <w:ind w:firstLine="709"/>
        <w:jc w:val="both"/>
        <w:rPr>
          <w:sz w:val="28"/>
          <w:szCs w:val="28"/>
        </w:rPr>
      </w:pPr>
      <w:r w:rsidRPr="008262AD">
        <w:rPr>
          <w:sz w:val="28"/>
          <w:szCs w:val="28"/>
        </w:rPr>
        <w:t xml:space="preserve">у відношенні </w:t>
      </w:r>
      <w:r w:rsidR="0062134A" w:rsidRPr="0062134A">
        <w:rPr>
          <w:sz w:val="28"/>
          <w:szCs w:val="28"/>
        </w:rPr>
        <w:t>ТОВ «</w:t>
      </w:r>
      <w:proofErr w:type="spellStart"/>
      <w:r w:rsidR="0062134A" w:rsidRPr="0062134A">
        <w:rPr>
          <w:sz w:val="28"/>
          <w:szCs w:val="28"/>
        </w:rPr>
        <w:t>КУА</w:t>
      </w:r>
      <w:proofErr w:type="spellEnd"/>
      <w:r w:rsidR="0062134A" w:rsidRPr="0062134A">
        <w:rPr>
          <w:sz w:val="28"/>
          <w:szCs w:val="28"/>
        </w:rPr>
        <w:t xml:space="preserve"> «СВОП»</w:t>
      </w:r>
      <w:r w:rsidR="0062134A">
        <w:rPr>
          <w:sz w:val="28"/>
          <w:szCs w:val="28"/>
        </w:rPr>
        <w:t xml:space="preserve"> </w:t>
      </w:r>
      <w:r w:rsidRPr="008262AD">
        <w:rPr>
          <w:sz w:val="28"/>
          <w:szCs w:val="28"/>
        </w:rPr>
        <w:t xml:space="preserve">було складено акт про правопорушення на  ринках капіталу від </w:t>
      </w:r>
      <w:r>
        <w:rPr>
          <w:sz w:val="28"/>
          <w:szCs w:val="28"/>
          <w:lang w:val="ru-RU"/>
        </w:rPr>
        <w:t>25</w:t>
      </w:r>
      <w:r w:rsidR="0062134A">
        <w:rPr>
          <w:sz w:val="28"/>
          <w:szCs w:val="28"/>
        </w:rPr>
        <w:t>.03</w:t>
      </w:r>
      <w:r w:rsidRPr="008262AD">
        <w:rPr>
          <w:sz w:val="28"/>
          <w:szCs w:val="28"/>
        </w:rPr>
        <w:t>.2021 №</w:t>
      </w:r>
      <w:r w:rsidR="0062134A">
        <w:rPr>
          <w:sz w:val="28"/>
          <w:szCs w:val="28"/>
          <w:lang w:val="ru-RU"/>
        </w:rPr>
        <w:t>98</w:t>
      </w:r>
      <w:r w:rsidRPr="008262AD">
        <w:rPr>
          <w:sz w:val="28"/>
          <w:szCs w:val="28"/>
          <w:lang w:val="ru-RU"/>
        </w:rPr>
        <w:t>-</w:t>
      </w:r>
      <w:r w:rsidRPr="008262AD">
        <w:rPr>
          <w:sz w:val="28"/>
          <w:szCs w:val="28"/>
        </w:rPr>
        <w:t>ДП-</w:t>
      </w:r>
      <w:r w:rsidRPr="008262AD">
        <w:rPr>
          <w:sz w:val="28"/>
          <w:szCs w:val="28"/>
          <w:lang w:val="ru-RU"/>
        </w:rPr>
        <w:t>КУА</w:t>
      </w:r>
      <w:r w:rsidRPr="008262AD">
        <w:rPr>
          <w:sz w:val="28"/>
          <w:szCs w:val="28"/>
        </w:rPr>
        <w:t>, відповідно до якого встановлено наступне.</w:t>
      </w:r>
    </w:p>
    <w:p w:rsidR="0062134A" w:rsidRPr="0062134A" w:rsidRDefault="0062134A" w:rsidP="0062134A">
      <w:pPr>
        <w:ind w:firstLine="709"/>
        <w:jc w:val="both"/>
        <w:rPr>
          <w:sz w:val="28"/>
          <w:szCs w:val="28"/>
        </w:rPr>
      </w:pPr>
      <w:r>
        <w:rPr>
          <w:sz w:val="28"/>
          <w:szCs w:val="28"/>
        </w:rPr>
        <w:t xml:space="preserve"> </w:t>
      </w:r>
      <w:r w:rsidRPr="0062134A">
        <w:rPr>
          <w:sz w:val="28"/>
          <w:szCs w:val="28"/>
        </w:rPr>
        <w:t xml:space="preserve">Відповідно до частини третьої статті 27 Закону України «Про цінні папери та фондовий ринок» професійні учасники фондового ринку зобов’язані дотримуватися </w:t>
      </w:r>
      <w:proofErr w:type="spellStart"/>
      <w:r w:rsidRPr="0062134A">
        <w:rPr>
          <w:sz w:val="28"/>
          <w:szCs w:val="28"/>
        </w:rPr>
        <w:t>пруденційних</w:t>
      </w:r>
      <w:proofErr w:type="spellEnd"/>
      <w:r w:rsidRPr="0062134A">
        <w:rPr>
          <w:sz w:val="28"/>
          <w:szCs w:val="28"/>
        </w:rPr>
        <w:t xml:space="preserve"> нормативів, перелік, розміри і методика розрахунку яких встановлюються Національною комісією з цінних паперів та фондового ринку. </w:t>
      </w:r>
    </w:p>
    <w:p w:rsidR="0062134A" w:rsidRPr="0062134A" w:rsidRDefault="0062134A" w:rsidP="0062134A">
      <w:pPr>
        <w:ind w:firstLine="720"/>
        <w:jc w:val="both"/>
        <w:rPr>
          <w:sz w:val="28"/>
          <w:szCs w:val="28"/>
        </w:rPr>
      </w:pPr>
      <w:r w:rsidRPr="0062134A">
        <w:rPr>
          <w:sz w:val="28"/>
          <w:szCs w:val="28"/>
        </w:rPr>
        <w:t xml:space="preserve">Згідно з пунктом 14 розділу І Ліцензійних умов провадження професійної діяльності на фондовому ринку (ринку цінних паперів) – діяльності з управління активами інституційних інвесторів (діяльності з управління активами), затверджених рішенням Комісії від 23.07.2013 № 1281, зареєстрованих в Міністерстві юстиції України 12.09.2013 за № 1576/24108 (далі – Ліцензійні умови № 1281), ліцензіат (крім банку) повинен дотримуватись </w:t>
      </w:r>
      <w:proofErr w:type="spellStart"/>
      <w:r w:rsidRPr="0062134A">
        <w:rPr>
          <w:sz w:val="28"/>
          <w:szCs w:val="28"/>
        </w:rPr>
        <w:t>пруденційних</w:t>
      </w:r>
      <w:proofErr w:type="spellEnd"/>
      <w:r w:rsidRPr="0062134A">
        <w:rPr>
          <w:sz w:val="28"/>
          <w:szCs w:val="28"/>
        </w:rPr>
        <w:t xml:space="preserve"> нормативів провадження професійної діяльності на фондовому ринку – діяльності з управління активами інституційних інвесторів (діяльності з управління активами).  </w:t>
      </w:r>
    </w:p>
    <w:p w:rsidR="0062134A" w:rsidRPr="0062134A" w:rsidRDefault="0062134A" w:rsidP="0062134A">
      <w:pPr>
        <w:suppressAutoHyphens/>
        <w:ind w:firstLine="709"/>
        <w:jc w:val="both"/>
        <w:rPr>
          <w:sz w:val="28"/>
          <w:szCs w:val="28"/>
        </w:rPr>
      </w:pPr>
      <w:r w:rsidRPr="0062134A">
        <w:rPr>
          <w:sz w:val="28"/>
          <w:szCs w:val="28"/>
        </w:rPr>
        <w:t xml:space="preserve"> Відповідно до Положення щодо </w:t>
      </w:r>
      <w:proofErr w:type="spellStart"/>
      <w:r w:rsidRPr="0062134A">
        <w:rPr>
          <w:sz w:val="28"/>
          <w:szCs w:val="28"/>
        </w:rPr>
        <w:t>пруденційних</w:t>
      </w:r>
      <w:proofErr w:type="spellEnd"/>
      <w:r w:rsidRPr="0062134A">
        <w:rPr>
          <w:sz w:val="28"/>
          <w:szCs w:val="28"/>
        </w:rPr>
        <w:t xml:space="preserve"> нормативів професійної діяльності на фондовому ринку та вимог до системи управління ризиками, затвердженого рішенням Комісії від 01.10.2015 № 1597, зареєстрованого в Міністерстві юстиції України 28.10.2015 за № 1311/27756 (далі – Положення               № 1597), компанії з управління активами подають інформацію про результати розрахунків </w:t>
      </w:r>
      <w:proofErr w:type="spellStart"/>
      <w:r w:rsidRPr="0062134A">
        <w:rPr>
          <w:sz w:val="28"/>
          <w:szCs w:val="28"/>
        </w:rPr>
        <w:t>пруденційних</w:t>
      </w:r>
      <w:proofErr w:type="spellEnd"/>
      <w:r w:rsidRPr="0062134A">
        <w:rPr>
          <w:sz w:val="28"/>
          <w:szCs w:val="28"/>
        </w:rPr>
        <w:t xml:space="preserve"> нормативів та дані, на основі яких здійснюються розрахунки, до Комісії.</w:t>
      </w:r>
    </w:p>
    <w:p w:rsidR="0062134A" w:rsidRPr="0062134A" w:rsidRDefault="0062134A" w:rsidP="0062134A">
      <w:pPr>
        <w:suppressAutoHyphens/>
        <w:ind w:firstLine="709"/>
        <w:jc w:val="both"/>
        <w:rPr>
          <w:sz w:val="28"/>
          <w:szCs w:val="28"/>
        </w:rPr>
      </w:pPr>
      <w:r w:rsidRPr="0062134A">
        <w:rPr>
          <w:sz w:val="28"/>
          <w:szCs w:val="28"/>
        </w:rPr>
        <w:t xml:space="preserve">Склад та порядок подання до Комісії вказаної інформації визначено Положенням про порядок складання та розкриття інформації компаніями з управління активами та особами, що здійснюють управління активами </w:t>
      </w:r>
      <w:r w:rsidRPr="0062134A">
        <w:rPr>
          <w:sz w:val="28"/>
          <w:szCs w:val="28"/>
        </w:rPr>
        <w:lastRenderedPageBreak/>
        <w:t xml:space="preserve">недержавних пенсійних фондів, та подання відповідних документів до Національної комісії з цінних паперів та фондового ринку, затвердженим рішенням Комісії від 02.10.2012 № 1343, зареєстрованим в Міністерстві юстиції України 19.10.2012 за № 1764/22076 (далі – Положення № 1343). </w:t>
      </w:r>
    </w:p>
    <w:p w:rsidR="0062134A" w:rsidRPr="0062134A" w:rsidRDefault="0062134A" w:rsidP="0062134A">
      <w:pPr>
        <w:suppressAutoHyphens/>
        <w:ind w:firstLine="709"/>
        <w:jc w:val="both"/>
        <w:rPr>
          <w:sz w:val="28"/>
          <w:szCs w:val="28"/>
        </w:rPr>
      </w:pPr>
      <w:r w:rsidRPr="0062134A">
        <w:rPr>
          <w:sz w:val="28"/>
          <w:szCs w:val="28"/>
        </w:rPr>
        <w:t xml:space="preserve">Відповідно до пункту 1 глави 1 розділу ІV Положення № 1597 показниками, які використовуються для вимірювання та оцінки ризиків діяльності з управління активами, є, зокрема, розмір власних коштів. </w:t>
      </w:r>
    </w:p>
    <w:p w:rsidR="0062134A" w:rsidRPr="0062134A" w:rsidRDefault="0062134A" w:rsidP="0062134A">
      <w:pPr>
        <w:suppressAutoHyphens/>
        <w:ind w:firstLine="709"/>
        <w:jc w:val="both"/>
        <w:rPr>
          <w:sz w:val="28"/>
          <w:szCs w:val="28"/>
        </w:rPr>
      </w:pPr>
      <w:r w:rsidRPr="0062134A">
        <w:rPr>
          <w:sz w:val="28"/>
          <w:szCs w:val="28"/>
        </w:rPr>
        <w:t>Відповідно до пункту 3 глави 2 розділу ІV Положення № 1597, мінімальний розмір власних коштів компанії з управління активами повинен становити не менше 50 відсотків від мінімального розміру статутного капіталу, встановленого законодавством для зазначеного виду професійної діяльності на фондовому ринку.</w:t>
      </w:r>
    </w:p>
    <w:p w:rsidR="0062134A" w:rsidRPr="0062134A" w:rsidRDefault="0062134A" w:rsidP="0062134A">
      <w:pPr>
        <w:suppressAutoHyphens/>
        <w:ind w:firstLine="709"/>
        <w:jc w:val="both"/>
        <w:rPr>
          <w:sz w:val="28"/>
          <w:szCs w:val="28"/>
        </w:rPr>
      </w:pPr>
      <w:r w:rsidRPr="0062134A">
        <w:rPr>
          <w:sz w:val="28"/>
          <w:szCs w:val="28"/>
        </w:rPr>
        <w:t xml:space="preserve">Згідно з пунктом 3 глави 1 розділу ІІ Ліцензійних умов № 1281 розмір статутного капіталу компанії з управління активами, сплачений грошовими коштами, повинен становити суму не менше ніж 7 000 </w:t>
      </w:r>
      <w:proofErr w:type="spellStart"/>
      <w:r w:rsidRPr="0062134A">
        <w:rPr>
          <w:sz w:val="28"/>
          <w:szCs w:val="28"/>
        </w:rPr>
        <w:t>000</w:t>
      </w:r>
      <w:proofErr w:type="spellEnd"/>
      <w:r w:rsidRPr="0062134A">
        <w:rPr>
          <w:sz w:val="28"/>
          <w:szCs w:val="28"/>
        </w:rPr>
        <w:t xml:space="preserve"> гривень на день подання документів до Комісії для отримання ліцензії.</w:t>
      </w:r>
    </w:p>
    <w:p w:rsidR="0062134A" w:rsidRPr="0062134A" w:rsidRDefault="0062134A" w:rsidP="0062134A">
      <w:pPr>
        <w:suppressAutoHyphens/>
        <w:ind w:firstLine="709"/>
        <w:jc w:val="both"/>
        <w:rPr>
          <w:sz w:val="28"/>
          <w:szCs w:val="28"/>
        </w:rPr>
      </w:pPr>
      <w:r w:rsidRPr="0062134A">
        <w:rPr>
          <w:sz w:val="28"/>
          <w:szCs w:val="28"/>
        </w:rPr>
        <w:t xml:space="preserve"> Мінімальний розмір власних коштів Товариства відповідно до пункту 3 глави 1 розділу ІІ Ліцензійних умов № 1281 та пункту 3 глави 2 розділу ІV Положення № 1597 повинен становити не менше 3 500 000 грн. </w:t>
      </w:r>
    </w:p>
    <w:p w:rsidR="0062134A" w:rsidRPr="0062134A" w:rsidRDefault="0062134A" w:rsidP="0062134A">
      <w:pPr>
        <w:suppressAutoHyphens/>
        <w:ind w:firstLine="709"/>
        <w:jc w:val="both"/>
        <w:rPr>
          <w:sz w:val="28"/>
          <w:szCs w:val="28"/>
        </w:rPr>
      </w:pPr>
      <w:r w:rsidRPr="0062134A">
        <w:rPr>
          <w:sz w:val="28"/>
          <w:szCs w:val="28"/>
        </w:rPr>
        <w:t>Відповідно до пункту 1 глави 2 розділу ІV Положення № 1597 власні кошти є коштами, які Компанія або особа може використовувати на покриття негативних фінансових наслідків реалізації ризиків, що виникають при провадженні нею професійної діяльності на фондовому ринку.</w:t>
      </w:r>
    </w:p>
    <w:p w:rsidR="0062134A" w:rsidRPr="0062134A" w:rsidRDefault="0062134A" w:rsidP="0062134A">
      <w:pPr>
        <w:suppressAutoHyphens/>
        <w:ind w:firstLine="709"/>
        <w:jc w:val="both"/>
        <w:rPr>
          <w:sz w:val="28"/>
          <w:szCs w:val="28"/>
        </w:rPr>
      </w:pPr>
      <w:r w:rsidRPr="0062134A">
        <w:rPr>
          <w:sz w:val="28"/>
          <w:szCs w:val="28"/>
        </w:rPr>
        <w:t xml:space="preserve">Відповідно до пункту 2 глави 2 розділу IV Положення № 1597 власні кошти компанії з управління активами розраховуються в порядку, передбаченому главою 2 розділу ІІІ цього Положення для розрахунку показника регулятивного капіталу установи. </w:t>
      </w:r>
    </w:p>
    <w:p w:rsidR="0062134A" w:rsidRPr="0062134A" w:rsidRDefault="0062134A" w:rsidP="0062134A">
      <w:pPr>
        <w:suppressAutoHyphens/>
        <w:ind w:firstLine="709"/>
        <w:jc w:val="both"/>
        <w:rPr>
          <w:sz w:val="28"/>
          <w:szCs w:val="28"/>
        </w:rPr>
      </w:pPr>
      <w:r w:rsidRPr="0062134A">
        <w:rPr>
          <w:sz w:val="28"/>
          <w:szCs w:val="28"/>
        </w:rPr>
        <w:t>Пунктом 2 глави 2 розділу ІІІ Положення № 1597 передбачено, що регулятивний капітал складається з капіталу першого рівня та капіталу другого рівня.</w:t>
      </w:r>
    </w:p>
    <w:p w:rsidR="0062134A" w:rsidRPr="0062134A" w:rsidRDefault="0062134A" w:rsidP="0062134A">
      <w:pPr>
        <w:suppressAutoHyphens/>
        <w:ind w:firstLine="709"/>
        <w:jc w:val="both"/>
        <w:rPr>
          <w:sz w:val="28"/>
          <w:szCs w:val="28"/>
        </w:rPr>
      </w:pPr>
      <w:r w:rsidRPr="0062134A">
        <w:rPr>
          <w:sz w:val="28"/>
          <w:szCs w:val="28"/>
        </w:rPr>
        <w:t xml:space="preserve">Відповідно до підпункту 4 пункту 5 глави 2 розділу ІІІ Положення № 1597, розмір капіталу першого рівня зменшується на суму довгострокової дебіторської заборгованості, в тому числі пролонгованої, термін сплати якої не настав (далі </w:t>
      </w:r>
      <w:proofErr w:type="spellStart"/>
      <w:r w:rsidRPr="0062134A">
        <w:rPr>
          <w:sz w:val="28"/>
          <w:szCs w:val="28"/>
        </w:rPr>
        <w:t>–Довгострокова</w:t>
      </w:r>
      <w:proofErr w:type="spellEnd"/>
      <w:r w:rsidRPr="0062134A">
        <w:rPr>
          <w:sz w:val="28"/>
          <w:szCs w:val="28"/>
        </w:rPr>
        <w:t xml:space="preserve"> дебіторська заборгованість).</w:t>
      </w:r>
    </w:p>
    <w:p w:rsidR="0062134A" w:rsidRPr="0062134A" w:rsidRDefault="0062134A" w:rsidP="0062134A">
      <w:pPr>
        <w:suppressAutoHyphens/>
        <w:ind w:firstLine="709"/>
        <w:jc w:val="both"/>
        <w:rPr>
          <w:sz w:val="28"/>
          <w:szCs w:val="28"/>
        </w:rPr>
      </w:pPr>
      <w:r w:rsidRPr="0062134A">
        <w:rPr>
          <w:sz w:val="28"/>
          <w:szCs w:val="28"/>
        </w:rPr>
        <w:t xml:space="preserve">З метою проведення додаткового аналізу даних, поданих Товариством у складі Довідки про розрахунок показника розміру власних коштів, Комісією направлено запит (вимогу) щодо надання інформації від 18.01.2021 № 16/03/983 (далі – Запит), відповідно до якого Товариству необхідно надати детальну інформацію зокрема щодо складу, структури та вартості </w:t>
      </w:r>
      <w:r w:rsidRPr="0062134A">
        <w:rPr>
          <w:b/>
          <w:sz w:val="28"/>
          <w:szCs w:val="28"/>
          <w:u w:val="single"/>
        </w:rPr>
        <w:t>всіх</w:t>
      </w:r>
      <w:r w:rsidRPr="0062134A">
        <w:rPr>
          <w:sz w:val="28"/>
          <w:szCs w:val="28"/>
        </w:rPr>
        <w:t xml:space="preserve"> активів Товариства станом на кінець дня 31.10.2020 та 30.11.2020, при цьому щодо дебіторів Товариства необхідно зазначити найменування та ідентифікаційний код юридичної особи, прізвище, ім’я, по-батькові фізичної особи, суму дебіторської заборгованості, дату виникнення дебіторської заборгованості, термін погашення заборгованості, інформацію щодо пролонгованої (сума пролонгованої заборгованості, дати всіх </w:t>
      </w:r>
      <w:proofErr w:type="spellStart"/>
      <w:r w:rsidRPr="0062134A">
        <w:rPr>
          <w:sz w:val="28"/>
          <w:szCs w:val="28"/>
        </w:rPr>
        <w:t>пролонгацій</w:t>
      </w:r>
      <w:proofErr w:type="spellEnd"/>
      <w:r w:rsidRPr="0062134A">
        <w:rPr>
          <w:sz w:val="28"/>
          <w:szCs w:val="28"/>
        </w:rPr>
        <w:t xml:space="preserve"> та строк, на який вони здійснені) та простроченої дебіторської заборгованості (сума заборгованості, </w:t>
      </w:r>
      <w:r w:rsidRPr="0062134A">
        <w:rPr>
          <w:sz w:val="28"/>
          <w:szCs w:val="28"/>
        </w:rPr>
        <w:lastRenderedPageBreak/>
        <w:t>яка є простроченою, дату, починаючи з якої дана дебіторська заборгованість є простроченою), результати аналізу на наявність ознак зменшення корисності активу відповідно до міжнародних стандартів фінансової звітності. У разі відсутності пролонгованої та/або простроченої дебіторської заборгованості слід окремо про це зазначити.</w:t>
      </w:r>
    </w:p>
    <w:p w:rsidR="0062134A" w:rsidRPr="0062134A" w:rsidRDefault="0062134A" w:rsidP="0062134A">
      <w:pPr>
        <w:suppressAutoHyphens/>
        <w:ind w:firstLine="709"/>
        <w:jc w:val="both"/>
        <w:rPr>
          <w:sz w:val="28"/>
          <w:szCs w:val="28"/>
        </w:rPr>
      </w:pPr>
      <w:r w:rsidRPr="0062134A">
        <w:rPr>
          <w:sz w:val="28"/>
          <w:szCs w:val="28"/>
        </w:rPr>
        <w:t xml:space="preserve">Товариство листом від 15.02.2021 № 2/15/1 (далі – Лист) у відповідь на Запит надало до Комісії інформацію щодо дебіторської заборгованості, згідно з якою, у Товариства наявна наступна дебіторська заборгованість: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3"/>
        <w:gridCol w:w="1810"/>
        <w:gridCol w:w="1805"/>
        <w:gridCol w:w="1860"/>
        <w:gridCol w:w="1965"/>
      </w:tblGrid>
      <w:tr w:rsidR="0062134A" w:rsidTr="00176538">
        <w:tc>
          <w:tcPr>
            <w:tcW w:w="2772" w:type="dxa"/>
          </w:tcPr>
          <w:p w:rsidR="0062134A" w:rsidRPr="00E32980" w:rsidRDefault="0062134A" w:rsidP="00176538">
            <w:pPr>
              <w:suppressAutoHyphens/>
              <w:jc w:val="center"/>
              <w:rPr>
                <w:rFonts w:eastAsia="Calibri"/>
                <w:sz w:val="26"/>
                <w:szCs w:val="26"/>
              </w:rPr>
            </w:pPr>
            <w:r>
              <w:t>Найменування та ідентифікаційний код дебітора</w:t>
            </w:r>
          </w:p>
        </w:tc>
        <w:tc>
          <w:tcPr>
            <w:tcW w:w="1814" w:type="dxa"/>
          </w:tcPr>
          <w:p w:rsidR="0062134A" w:rsidRPr="00E32980" w:rsidRDefault="0062134A" w:rsidP="00176538">
            <w:pPr>
              <w:suppressAutoHyphens/>
              <w:jc w:val="center"/>
              <w:rPr>
                <w:rFonts w:eastAsia="Calibri"/>
                <w:sz w:val="26"/>
                <w:szCs w:val="26"/>
              </w:rPr>
            </w:pPr>
            <w:r>
              <w:t xml:space="preserve">Сума дебіторської заборгованості, </w:t>
            </w:r>
            <w:r w:rsidRPr="00E32980">
              <w:rPr>
                <w:b/>
              </w:rPr>
              <w:t xml:space="preserve">станом на 31.10.2020, </w:t>
            </w:r>
            <w:proofErr w:type="spellStart"/>
            <w:r w:rsidRPr="00E32980">
              <w:rPr>
                <w:b/>
              </w:rPr>
              <w:t>грн</w:t>
            </w:r>
            <w:proofErr w:type="spellEnd"/>
          </w:p>
        </w:tc>
        <w:tc>
          <w:tcPr>
            <w:tcW w:w="1805" w:type="dxa"/>
          </w:tcPr>
          <w:p w:rsidR="0062134A" w:rsidRPr="00E32980" w:rsidRDefault="0062134A" w:rsidP="00176538">
            <w:pPr>
              <w:suppressAutoHyphens/>
              <w:jc w:val="center"/>
              <w:rPr>
                <w:rFonts w:eastAsia="Calibri"/>
                <w:sz w:val="26"/>
                <w:szCs w:val="26"/>
              </w:rPr>
            </w:pPr>
            <w:r>
              <w:t xml:space="preserve">Сума дебіторської заборгованості, </w:t>
            </w:r>
            <w:r w:rsidRPr="00E32980">
              <w:rPr>
                <w:b/>
              </w:rPr>
              <w:t xml:space="preserve">станом на 30.11.2020, </w:t>
            </w:r>
            <w:proofErr w:type="spellStart"/>
            <w:r w:rsidRPr="00E32980">
              <w:rPr>
                <w:b/>
              </w:rPr>
              <w:t>грн</w:t>
            </w:r>
            <w:proofErr w:type="spellEnd"/>
          </w:p>
        </w:tc>
        <w:tc>
          <w:tcPr>
            <w:tcW w:w="1968" w:type="dxa"/>
          </w:tcPr>
          <w:p w:rsidR="0062134A" w:rsidRPr="00E32980" w:rsidRDefault="0062134A" w:rsidP="00176538">
            <w:pPr>
              <w:suppressAutoHyphens/>
              <w:jc w:val="center"/>
              <w:rPr>
                <w:rFonts w:eastAsia="Calibri"/>
                <w:sz w:val="26"/>
                <w:szCs w:val="26"/>
              </w:rPr>
            </w:pPr>
            <w:r>
              <w:t>Дата виникнення дебіторської заборгованості</w:t>
            </w:r>
          </w:p>
        </w:tc>
        <w:tc>
          <w:tcPr>
            <w:tcW w:w="2170" w:type="dxa"/>
          </w:tcPr>
          <w:p w:rsidR="0062134A" w:rsidRPr="00E32980" w:rsidRDefault="0062134A" w:rsidP="00176538">
            <w:pPr>
              <w:suppressAutoHyphens/>
              <w:jc w:val="center"/>
              <w:rPr>
                <w:rFonts w:eastAsia="Calibri"/>
                <w:sz w:val="26"/>
                <w:szCs w:val="26"/>
              </w:rPr>
            </w:pPr>
            <w:r>
              <w:t>Дата погашення дебіторської заборгованості</w:t>
            </w:r>
          </w:p>
        </w:tc>
      </w:tr>
      <w:tr w:rsidR="0062134A" w:rsidTr="00176538">
        <w:tc>
          <w:tcPr>
            <w:tcW w:w="2772" w:type="dxa"/>
          </w:tcPr>
          <w:p w:rsidR="0062134A" w:rsidRPr="00E32980" w:rsidRDefault="0062134A" w:rsidP="00176538">
            <w:pPr>
              <w:suppressAutoHyphens/>
              <w:jc w:val="center"/>
              <w:rPr>
                <w:rFonts w:eastAsia="Calibri"/>
                <w:sz w:val="26"/>
                <w:szCs w:val="26"/>
              </w:rPr>
            </w:pPr>
            <w:r>
              <w:t>ПАТ «ЗНВКІФ «АРІС», 38518280</w:t>
            </w:r>
          </w:p>
        </w:tc>
        <w:tc>
          <w:tcPr>
            <w:tcW w:w="1814" w:type="dxa"/>
          </w:tcPr>
          <w:p w:rsidR="0062134A" w:rsidRPr="00E32980" w:rsidRDefault="0062134A" w:rsidP="00176538">
            <w:pPr>
              <w:suppressAutoHyphens/>
              <w:jc w:val="center"/>
              <w:rPr>
                <w:rFonts w:eastAsia="Calibri"/>
                <w:sz w:val="26"/>
                <w:szCs w:val="26"/>
              </w:rPr>
            </w:pPr>
            <w:r>
              <w:t>605 463,17</w:t>
            </w:r>
          </w:p>
        </w:tc>
        <w:tc>
          <w:tcPr>
            <w:tcW w:w="1805" w:type="dxa"/>
          </w:tcPr>
          <w:p w:rsidR="0062134A" w:rsidRPr="00E32980" w:rsidRDefault="0062134A" w:rsidP="00176538">
            <w:pPr>
              <w:suppressAutoHyphens/>
              <w:jc w:val="center"/>
              <w:rPr>
                <w:rFonts w:eastAsia="Calibri"/>
                <w:sz w:val="26"/>
                <w:szCs w:val="26"/>
              </w:rPr>
            </w:pPr>
            <w:r>
              <w:t>605 463,17</w:t>
            </w:r>
          </w:p>
        </w:tc>
        <w:tc>
          <w:tcPr>
            <w:tcW w:w="1968" w:type="dxa"/>
          </w:tcPr>
          <w:p w:rsidR="0062134A" w:rsidRPr="00E32980" w:rsidRDefault="0062134A" w:rsidP="00176538">
            <w:pPr>
              <w:suppressAutoHyphens/>
              <w:jc w:val="center"/>
              <w:rPr>
                <w:rFonts w:eastAsia="Calibri"/>
                <w:sz w:val="26"/>
                <w:szCs w:val="26"/>
              </w:rPr>
            </w:pPr>
            <w:r>
              <w:t>30.11.2018</w:t>
            </w:r>
          </w:p>
        </w:tc>
        <w:tc>
          <w:tcPr>
            <w:tcW w:w="2170" w:type="dxa"/>
          </w:tcPr>
          <w:p w:rsidR="0062134A" w:rsidRPr="00E32980" w:rsidRDefault="0062134A" w:rsidP="00176538">
            <w:pPr>
              <w:suppressAutoHyphens/>
              <w:jc w:val="center"/>
              <w:rPr>
                <w:rFonts w:eastAsia="Calibri"/>
                <w:sz w:val="26"/>
                <w:szCs w:val="26"/>
              </w:rPr>
            </w:pPr>
            <w:r>
              <w:t>31.12.2021</w:t>
            </w:r>
          </w:p>
        </w:tc>
      </w:tr>
    </w:tbl>
    <w:p w:rsidR="0062134A" w:rsidRPr="0062134A" w:rsidRDefault="0062134A" w:rsidP="0062134A">
      <w:pPr>
        <w:suppressAutoHyphens/>
        <w:ind w:firstLine="709"/>
        <w:jc w:val="both"/>
        <w:rPr>
          <w:sz w:val="28"/>
          <w:szCs w:val="28"/>
        </w:rPr>
      </w:pPr>
      <w:r w:rsidRPr="0062134A">
        <w:rPr>
          <w:sz w:val="28"/>
          <w:szCs w:val="28"/>
        </w:rPr>
        <w:t>Відповідно до частини другої статті 12-1 Закону України «Про бухгалтерський облік та фінансову звітність в Україні» підприємства, що становлять суспільний інтерес, публічні акціонерні товариства, суб'єкти господарювання, які здійснюють діяльність у видобувних галузях, а також підприємства, які провадять господарську діяльність за видами, перелік яких визначається Кабінетом Міністрів України, складають фінансову звітність та консолідовану фінансову звітність за міжнародними стандартами.</w:t>
      </w:r>
    </w:p>
    <w:p w:rsidR="0062134A" w:rsidRPr="0062134A" w:rsidRDefault="0062134A" w:rsidP="0062134A">
      <w:pPr>
        <w:suppressAutoHyphens/>
        <w:ind w:firstLine="709"/>
        <w:jc w:val="both"/>
        <w:rPr>
          <w:sz w:val="28"/>
          <w:szCs w:val="28"/>
        </w:rPr>
      </w:pPr>
      <w:r w:rsidRPr="0062134A">
        <w:rPr>
          <w:sz w:val="28"/>
          <w:szCs w:val="28"/>
        </w:rPr>
        <w:t xml:space="preserve">Відповідно до абзацу четвертого пункту 2 Постанови Кабінету Міністрів України від 28.02.2000 № 419 «Про затвердження Порядку надання фінансової звітності», фінансова звітність та консолідована фінансова звітність складаються за міжнародними стандартами фінансової звітності підприємствами, які провадять господарську діяльність з надання фінансових послуг, крім страхування та пенсійного забезпечення (розділ 64 КВЕД </w:t>
      </w:r>
      <w:proofErr w:type="spellStart"/>
      <w:r w:rsidRPr="0062134A">
        <w:rPr>
          <w:sz w:val="28"/>
          <w:szCs w:val="28"/>
        </w:rPr>
        <w:t>ДК</w:t>
      </w:r>
      <w:proofErr w:type="spellEnd"/>
      <w:r w:rsidRPr="0062134A">
        <w:rPr>
          <w:sz w:val="28"/>
          <w:szCs w:val="28"/>
        </w:rPr>
        <w:t xml:space="preserve"> 009:2010). </w:t>
      </w:r>
    </w:p>
    <w:p w:rsidR="0062134A" w:rsidRPr="0062134A" w:rsidRDefault="0062134A" w:rsidP="0062134A">
      <w:pPr>
        <w:suppressAutoHyphens/>
        <w:ind w:firstLine="709"/>
        <w:jc w:val="both"/>
        <w:rPr>
          <w:sz w:val="28"/>
          <w:szCs w:val="28"/>
        </w:rPr>
      </w:pPr>
      <w:r w:rsidRPr="0062134A">
        <w:rPr>
          <w:sz w:val="28"/>
          <w:szCs w:val="28"/>
        </w:rPr>
        <w:t>Відповідно до частини шостої статті 12-1 Закону України «Про бухгалтерський облік та фінансову звітність в Україні», підприємства, які відповідно до законодавства складають фінансову звітність та консолідовану фінансову звітність за міжнародними стандартами, зобов’язані забезпечити ведення бухгалтерського обліку відповідно до облікової політики за міжнародними стандартами після подання першої фінансової звітності або консолідованої фінансової звітності за міжнародними стандартами, що визнається такою у порядку, визначеному міжнародними стандартами.</w:t>
      </w:r>
    </w:p>
    <w:p w:rsidR="0062134A" w:rsidRPr="0062134A" w:rsidRDefault="0062134A" w:rsidP="0062134A">
      <w:pPr>
        <w:suppressAutoHyphens/>
        <w:ind w:firstLine="709"/>
        <w:jc w:val="both"/>
        <w:rPr>
          <w:sz w:val="28"/>
          <w:szCs w:val="28"/>
        </w:rPr>
      </w:pPr>
      <w:r w:rsidRPr="0062134A">
        <w:rPr>
          <w:sz w:val="28"/>
          <w:szCs w:val="28"/>
        </w:rPr>
        <w:t xml:space="preserve">Відповідно до параграфу 66 Міжнародного стандарту бухгалтерського обліку 1 «Подання фінансової звітності» (далі – МСБО 1), суб'єкт господарювання повинен класифікувати актив як поточний, якщо: </w:t>
      </w:r>
    </w:p>
    <w:p w:rsidR="0062134A" w:rsidRPr="0062134A" w:rsidRDefault="0062134A" w:rsidP="0062134A">
      <w:pPr>
        <w:suppressAutoHyphens/>
        <w:ind w:firstLine="709"/>
        <w:jc w:val="both"/>
        <w:rPr>
          <w:sz w:val="28"/>
          <w:szCs w:val="28"/>
        </w:rPr>
      </w:pPr>
      <w:r w:rsidRPr="0062134A">
        <w:rPr>
          <w:sz w:val="28"/>
          <w:szCs w:val="28"/>
        </w:rPr>
        <w:t>а) він сподівається реалізувати цей актив або має намір продати чи спожити його у своєму нормальному операційному циклі;</w:t>
      </w:r>
    </w:p>
    <w:p w:rsidR="0062134A" w:rsidRPr="0062134A" w:rsidRDefault="0062134A" w:rsidP="0062134A">
      <w:pPr>
        <w:suppressAutoHyphens/>
        <w:ind w:firstLine="709"/>
        <w:jc w:val="both"/>
        <w:rPr>
          <w:sz w:val="28"/>
          <w:szCs w:val="28"/>
        </w:rPr>
      </w:pPr>
      <w:r w:rsidRPr="0062134A">
        <w:rPr>
          <w:sz w:val="28"/>
          <w:szCs w:val="28"/>
        </w:rPr>
        <w:t xml:space="preserve">б) він утримує актив в основному з метою продажу; </w:t>
      </w:r>
    </w:p>
    <w:p w:rsidR="0062134A" w:rsidRPr="0062134A" w:rsidRDefault="0062134A" w:rsidP="0062134A">
      <w:pPr>
        <w:suppressAutoHyphens/>
        <w:ind w:firstLine="709"/>
        <w:jc w:val="both"/>
        <w:rPr>
          <w:sz w:val="28"/>
          <w:szCs w:val="28"/>
        </w:rPr>
      </w:pPr>
      <w:r w:rsidRPr="0062134A">
        <w:rPr>
          <w:sz w:val="28"/>
          <w:szCs w:val="28"/>
        </w:rPr>
        <w:t xml:space="preserve">в) він сподівається реалізувати актив протягом дванадцяти місяців після звітного періоду; або </w:t>
      </w:r>
    </w:p>
    <w:p w:rsidR="0062134A" w:rsidRPr="0062134A" w:rsidRDefault="0062134A" w:rsidP="0062134A">
      <w:pPr>
        <w:suppressAutoHyphens/>
        <w:ind w:firstLine="709"/>
        <w:jc w:val="both"/>
        <w:rPr>
          <w:sz w:val="28"/>
          <w:szCs w:val="28"/>
        </w:rPr>
      </w:pPr>
      <w:r w:rsidRPr="0062134A">
        <w:rPr>
          <w:sz w:val="28"/>
          <w:szCs w:val="28"/>
        </w:rPr>
        <w:t xml:space="preserve">г) актив є грошовими коштами чи еквівалентами грошових коштів (як визначено у МСБО 7), якщо немає обмежень щодо обміну чи використання </w:t>
      </w:r>
      <w:r w:rsidRPr="0062134A">
        <w:rPr>
          <w:sz w:val="28"/>
          <w:szCs w:val="28"/>
        </w:rPr>
        <w:lastRenderedPageBreak/>
        <w:t>цього активу для погашення зобов'язання принаймні протягом дванадцяти місяців після звітного періоду.</w:t>
      </w:r>
    </w:p>
    <w:p w:rsidR="0062134A" w:rsidRPr="0062134A" w:rsidRDefault="0062134A" w:rsidP="0062134A">
      <w:pPr>
        <w:suppressAutoHyphens/>
        <w:ind w:firstLine="709"/>
        <w:jc w:val="both"/>
        <w:rPr>
          <w:sz w:val="28"/>
          <w:szCs w:val="28"/>
        </w:rPr>
      </w:pPr>
      <w:r w:rsidRPr="0062134A">
        <w:rPr>
          <w:sz w:val="28"/>
          <w:szCs w:val="28"/>
        </w:rPr>
        <w:t>Відповідно до параграфу 67 МСБО 1 термін «</w:t>
      </w:r>
      <w:proofErr w:type="spellStart"/>
      <w:r w:rsidRPr="0062134A">
        <w:rPr>
          <w:sz w:val="28"/>
          <w:szCs w:val="28"/>
        </w:rPr>
        <w:t>непоточний</w:t>
      </w:r>
      <w:proofErr w:type="spellEnd"/>
      <w:r w:rsidRPr="0062134A">
        <w:rPr>
          <w:sz w:val="28"/>
          <w:szCs w:val="28"/>
        </w:rPr>
        <w:t xml:space="preserve">», що вживається у цьому стандарті, включає матеріальні, нематеріальні та фінансові активи довгострокового характеру. Стандарт не забороняє використання альтернативних визначень, якщо їх значення є зрозумілим. </w:t>
      </w:r>
    </w:p>
    <w:p w:rsidR="0062134A" w:rsidRPr="0062134A" w:rsidRDefault="0062134A" w:rsidP="0062134A">
      <w:pPr>
        <w:suppressAutoHyphens/>
        <w:ind w:firstLine="709"/>
        <w:jc w:val="both"/>
        <w:rPr>
          <w:sz w:val="28"/>
          <w:szCs w:val="28"/>
        </w:rPr>
      </w:pPr>
      <w:r w:rsidRPr="0062134A">
        <w:rPr>
          <w:sz w:val="28"/>
          <w:szCs w:val="28"/>
        </w:rPr>
        <w:t xml:space="preserve">Оскільки відповідно до вищевикладеного концептуальною основою складання та подання Товариством фінансової звітності є міжнародні стандарти фінансової звітності, то, з урахуванням вимог МСБО 1, дебіторська заборгованість ПАТ «ЗНВКІФ «АРІС» у розмірі 605 463,17 </w:t>
      </w:r>
      <w:proofErr w:type="spellStart"/>
      <w:r w:rsidRPr="0062134A">
        <w:rPr>
          <w:sz w:val="28"/>
          <w:szCs w:val="28"/>
        </w:rPr>
        <w:t>грн</w:t>
      </w:r>
      <w:proofErr w:type="spellEnd"/>
      <w:r w:rsidRPr="0062134A">
        <w:rPr>
          <w:sz w:val="28"/>
          <w:szCs w:val="28"/>
        </w:rPr>
        <w:t xml:space="preserve"> має бути класифікована починаючи з 30.11.2018 по 30.11.2020, як довгострокова дебіторська заборгованість, термін сплати якої не настав.</w:t>
      </w:r>
    </w:p>
    <w:p w:rsidR="0062134A" w:rsidRPr="0062134A" w:rsidRDefault="0062134A" w:rsidP="0062134A">
      <w:pPr>
        <w:suppressAutoHyphens/>
        <w:ind w:firstLine="709"/>
        <w:jc w:val="both"/>
        <w:rPr>
          <w:sz w:val="28"/>
          <w:szCs w:val="28"/>
        </w:rPr>
      </w:pPr>
      <w:r w:rsidRPr="0062134A">
        <w:rPr>
          <w:sz w:val="28"/>
          <w:szCs w:val="28"/>
        </w:rPr>
        <w:t>Таким чином, з урахуванням вимог глави 2 розділу ІІІ Положення № 1597, розмір капіталу першого рівня принаймні станом на 31.10.2020 та 30.11.2020 має бути зменшений на вище вказану суму відповідної Довгострокової дебіторської заборгованості.</w:t>
      </w:r>
    </w:p>
    <w:p w:rsidR="0062134A" w:rsidRPr="0062134A" w:rsidRDefault="0062134A" w:rsidP="0062134A">
      <w:pPr>
        <w:suppressAutoHyphens/>
        <w:ind w:firstLine="709"/>
        <w:jc w:val="both"/>
        <w:rPr>
          <w:sz w:val="28"/>
          <w:szCs w:val="28"/>
        </w:rPr>
      </w:pPr>
      <w:r w:rsidRPr="0062134A">
        <w:rPr>
          <w:sz w:val="28"/>
          <w:szCs w:val="28"/>
        </w:rPr>
        <w:t xml:space="preserve">Відповідно до Положення № 1343 компанії з управління активами подають інформацію щодо Довгострокової дебіторської заборгованості у Довідці про розрахунок показника розміру власних коштів. </w:t>
      </w:r>
    </w:p>
    <w:p w:rsidR="0062134A" w:rsidRPr="0062134A" w:rsidRDefault="0062134A" w:rsidP="0062134A">
      <w:pPr>
        <w:suppressAutoHyphens/>
        <w:ind w:firstLine="709"/>
        <w:jc w:val="both"/>
        <w:rPr>
          <w:sz w:val="28"/>
          <w:szCs w:val="28"/>
        </w:rPr>
      </w:pPr>
      <w:r w:rsidRPr="0062134A">
        <w:rPr>
          <w:sz w:val="28"/>
          <w:szCs w:val="28"/>
        </w:rPr>
        <w:t>При цьому, у складі Довідки про розрахунок показника розміру власних коштів Товариством була надана наступна інформація щодо Довгострокової дебіторської заборгованості: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9"/>
        <w:gridCol w:w="2430"/>
        <w:gridCol w:w="2464"/>
        <w:gridCol w:w="2520"/>
      </w:tblGrid>
      <w:tr w:rsidR="0062134A" w:rsidTr="00176538">
        <w:trPr>
          <w:jc w:val="center"/>
        </w:trPr>
        <w:tc>
          <w:tcPr>
            <w:tcW w:w="2632" w:type="dxa"/>
          </w:tcPr>
          <w:p w:rsidR="0062134A" w:rsidRPr="00E32980" w:rsidRDefault="0062134A" w:rsidP="00176538">
            <w:pPr>
              <w:suppressAutoHyphens/>
              <w:jc w:val="center"/>
              <w:rPr>
                <w:rFonts w:eastAsia="Calibri"/>
                <w:sz w:val="26"/>
                <w:szCs w:val="26"/>
              </w:rPr>
            </w:pPr>
            <w:r>
              <w:t>Код ЄДРПОУ</w:t>
            </w:r>
          </w:p>
        </w:tc>
        <w:tc>
          <w:tcPr>
            <w:tcW w:w="2632" w:type="dxa"/>
          </w:tcPr>
          <w:p w:rsidR="0062134A" w:rsidRPr="00E32980" w:rsidRDefault="0062134A" w:rsidP="00176538">
            <w:pPr>
              <w:suppressAutoHyphens/>
              <w:jc w:val="center"/>
              <w:rPr>
                <w:rFonts w:eastAsia="Calibri"/>
                <w:sz w:val="26"/>
                <w:szCs w:val="26"/>
              </w:rPr>
            </w:pPr>
            <w:r>
              <w:t>Назва</w:t>
            </w:r>
          </w:p>
        </w:tc>
        <w:tc>
          <w:tcPr>
            <w:tcW w:w="2632" w:type="dxa"/>
          </w:tcPr>
          <w:p w:rsidR="0062134A" w:rsidRPr="00E32980" w:rsidRDefault="0062134A" w:rsidP="00176538">
            <w:pPr>
              <w:suppressAutoHyphens/>
              <w:jc w:val="center"/>
              <w:rPr>
                <w:rFonts w:eastAsia="Calibri"/>
                <w:sz w:val="26"/>
                <w:szCs w:val="26"/>
              </w:rPr>
            </w:pPr>
            <w:r>
              <w:t>Дата розрахунку</w:t>
            </w:r>
          </w:p>
        </w:tc>
        <w:tc>
          <w:tcPr>
            <w:tcW w:w="2633" w:type="dxa"/>
          </w:tcPr>
          <w:p w:rsidR="0062134A" w:rsidRPr="00E32980" w:rsidRDefault="0062134A" w:rsidP="00176538">
            <w:pPr>
              <w:suppressAutoHyphens/>
              <w:jc w:val="center"/>
              <w:rPr>
                <w:rFonts w:eastAsia="Calibri"/>
                <w:sz w:val="26"/>
                <w:szCs w:val="26"/>
              </w:rPr>
            </w:pPr>
            <w:r>
              <w:t xml:space="preserve">Довгострокова дебіторська заборгованість, </w:t>
            </w:r>
            <w:proofErr w:type="spellStart"/>
            <w:r>
              <w:t>грн</w:t>
            </w:r>
            <w:proofErr w:type="spellEnd"/>
          </w:p>
        </w:tc>
      </w:tr>
      <w:tr w:rsidR="0062134A" w:rsidTr="00176538">
        <w:trPr>
          <w:trHeight w:val="255"/>
          <w:jc w:val="center"/>
        </w:trPr>
        <w:tc>
          <w:tcPr>
            <w:tcW w:w="2632" w:type="dxa"/>
            <w:vMerge w:val="restart"/>
          </w:tcPr>
          <w:p w:rsidR="0062134A" w:rsidRPr="00E32980" w:rsidRDefault="0062134A" w:rsidP="00176538">
            <w:pPr>
              <w:suppressAutoHyphens/>
              <w:jc w:val="center"/>
              <w:rPr>
                <w:rFonts w:eastAsia="Calibri"/>
                <w:sz w:val="26"/>
                <w:szCs w:val="26"/>
              </w:rPr>
            </w:pPr>
            <w:r>
              <w:t>32523934</w:t>
            </w:r>
          </w:p>
        </w:tc>
        <w:tc>
          <w:tcPr>
            <w:tcW w:w="2632" w:type="dxa"/>
            <w:vMerge w:val="restart"/>
          </w:tcPr>
          <w:p w:rsidR="0062134A" w:rsidRPr="00E32980" w:rsidRDefault="0062134A" w:rsidP="00176538">
            <w:pPr>
              <w:suppressAutoHyphens/>
              <w:jc w:val="center"/>
              <w:rPr>
                <w:rFonts w:eastAsia="Calibri"/>
                <w:sz w:val="26"/>
                <w:szCs w:val="26"/>
              </w:rPr>
            </w:pPr>
            <w:r>
              <w:t>ТОВ «</w:t>
            </w:r>
            <w:proofErr w:type="spellStart"/>
            <w:r>
              <w:t>КУА</w:t>
            </w:r>
            <w:proofErr w:type="spellEnd"/>
            <w:r>
              <w:t xml:space="preserve"> «СВОП»</w:t>
            </w:r>
          </w:p>
        </w:tc>
        <w:tc>
          <w:tcPr>
            <w:tcW w:w="2632" w:type="dxa"/>
          </w:tcPr>
          <w:p w:rsidR="0062134A" w:rsidRPr="00E32980" w:rsidRDefault="0062134A" w:rsidP="00176538">
            <w:pPr>
              <w:suppressAutoHyphens/>
              <w:jc w:val="center"/>
              <w:rPr>
                <w:rFonts w:eastAsia="Calibri"/>
                <w:sz w:val="26"/>
                <w:szCs w:val="26"/>
              </w:rPr>
            </w:pPr>
          </w:p>
        </w:tc>
        <w:tc>
          <w:tcPr>
            <w:tcW w:w="2633" w:type="dxa"/>
          </w:tcPr>
          <w:p w:rsidR="0062134A" w:rsidRPr="00E32980" w:rsidRDefault="0062134A" w:rsidP="00176538">
            <w:pPr>
              <w:suppressAutoHyphens/>
              <w:jc w:val="center"/>
              <w:rPr>
                <w:rFonts w:eastAsia="Calibri"/>
                <w:sz w:val="26"/>
                <w:szCs w:val="26"/>
              </w:rPr>
            </w:pPr>
            <w:proofErr w:type="spellStart"/>
            <w:r>
              <w:t>dzd</w:t>
            </w:r>
            <w:proofErr w:type="spellEnd"/>
          </w:p>
        </w:tc>
      </w:tr>
      <w:tr w:rsidR="0062134A" w:rsidTr="00176538">
        <w:trPr>
          <w:trHeight w:val="285"/>
          <w:jc w:val="center"/>
        </w:trPr>
        <w:tc>
          <w:tcPr>
            <w:tcW w:w="2632" w:type="dxa"/>
            <w:vMerge/>
          </w:tcPr>
          <w:p w:rsidR="0062134A" w:rsidRDefault="0062134A" w:rsidP="00176538">
            <w:pPr>
              <w:suppressAutoHyphens/>
              <w:jc w:val="both"/>
            </w:pPr>
          </w:p>
        </w:tc>
        <w:tc>
          <w:tcPr>
            <w:tcW w:w="2632" w:type="dxa"/>
            <w:vMerge/>
          </w:tcPr>
          <w:p w:rsidR="0062134A" w:rsidRDefault="0062134A" w:rsidP="00176538">
            <w:pPr>
              <w:suppressAutoHyphens/>
              <w:jc w:val="both"/>
            </w:pPr>
          </w:p>
        </w:tc>
        <w:tc>
          <w:tcPr>
            <w:tcW w:w="2632" w:type="dxa"/>
          </w:tcPr>
          <w:p w:rsidR="0062134A" w:rsidRDefault="0062134A" w:rsidP="00176538">
            <w:pPr>
              <w:suppressAutoHyphens/>
              <w:jc w:val="both"/>
            </w:pPr>
            <w:r>
              <w:t>31.10.2020</w:t>
            </w:r>
          </w:p>
        </w:tc>
        <w:tc>
          <w:tcPr>
            <w:tcW w:w="2633" w:type="dxa"/>
          </w:tcPr>
          <w:p w:rsidR="0062134A" w:rsidRPr="00E32980" w:rsidRDefault="0062134A" w:rsidP="00176538">
            <w:pPr>
              <w:suppressAutoHyphens/>
              <w:jc w:val="both"/>
              <w:rPr>
                <w:rFonts w:eastAsia="Calibri"/>
                <w:sz w:val="26"/>
                <w:szCs w:val="26"/>
              </w:rPr>
            </w:pPr>
            <w:r>
              <w:t>0,00</w:t>
            </w:r>
          </w:p>
        </w:tc>
      </w:tr>
      <w:tr w:rsidR="0062134A" w:rsidTr="00176538">
        <w:trPr>
          <w:trHeight w:val="255"/>
          <w:jc w:val="center"/>
        </w:trPr>
        <w:tc>
          <w:tcPr>
            <w:tcW w:w="2632" w:type="dxa"/>
            <w:vMerge/>
          </w:tcPr>
          <w:p w:rsidR="0062134A" w:rsidRDefault="0062134A" w:rsidP="00176538">
            <w:pPr>
              <w:suppressAutoHyphens/>
              <w:jc w:val="both"/>
            </w:pPr>
          </w:p>
        </w:tc>
        <w:tc>
          <w:tcPr>
            <w:tcW w:w="2632" w:type="dxa"/>
            <w:vMerge/>
          </w:tcPr>
          <w:p w:rsidR="0062134A" w:rsidRDefault="0062134A" w:rsidP="00176538">
            <w:pPr>
              <w:suppressAutoHyphens/>
              <w:jc w:val="both"/>
            </w:pPr>
          </w:p>
        </w:tc>
        <w:tc>
          <w:tcPr>
            <w:tcW w:w="2632" w:type="dxa"/>
          </w:tcPr>
          <w:p w:rsidR="0062134A" w:rsidRDefault="0062134A" w:rsidP="00176538">
            <w:pPr>
              <w:suppressAutoHyphens/>
              <w:jc w:val="both"/>
            </w:pPr>
            <w:r>
              <w:t>30.11.2020</w:t>
            </w:r>
          </w:p>
        </w:tc>
        <w:tc>
          <w:tcPr>
            <w:tcW w:w="2633" w:type="dxa"/>
          </w:tcPr>
          <w:p w:rsidR="0062134A" w:rsidRPr="00E32980" w:rsidRDefault="0062134A" w:rsidP="00176538">
            <w:pPr>
              <w:suppressAutoHyphens/>
              <w:jc w:val="both"/>
              <w:rPr>
                <w:rFonts w:eastAsia="Calibri"/>
                <w:sz w:val="26"/>
                <w:szCs w:val="26"/>
              </w:rPr>
            </w:pPr>
            <w:r>
              <w:t>0,00</w:t>
            </w:r>
          </w:p>
        </w:tc>
      </w:tr>
    </w:tbl>
    <w:p w:rsidR="0062134A" w:rsidRPr="0062134A" w:rsidRDefault="0062134A" w:rsidP="0062134A">
      <w:pPr>
        <w:suppressAutoHyphens/>
        <w:ind w:firstLine="709"/>
        <w:jc w:val="both"/>
        <w:rPr>
          <w:sz w:val="28"/>
          <w:szCs w:val="28"/>
        </w:rPr>
      </w:pPr>
      <w:r w:rsidRPr="0062134A">
        <w:rPr>
          <w:sz w:val="28"/>
          <w:szCs w:val="28"/>
        </w:rPr>
        <w:t xml:space="preserve">Виходячи з наведеного, Товариство не зменшило розмір капіталу першого рівня на відповідну суму Довгострокової дебіторської заборгованості. </w:t>
      </w:r>
    </w:p>
    <w:p w:rsidR="0062134A" w:rsidRPr="0062134A" w:rsidRDefault="0062134A" w:rsidP="0062134A">
      <w:pPr>
        <w:suppressAutoHyphens/>
        <w:ind w:firstLine="709"/>
        <w:jc w:val="both"/>
        <w:rPr>
          <w:sz w:val="28"/>
          <w:szCs w:val="28"/>
        </w:rPr>
      </w:pPr>
      <w:r w:rsidRPr="0062134A">
        <w:rPr>
          <w:sz w:val="28"/>
          <w:szCs w:val="28"/>
        </w:rPr>
        <w:t xml:space="preserve">Враховуючи вищевикладене, Комісією встановлено, що при здійсненні розрахунку </w:t>
      </w:r>
      <w:proofErr w:type="spellStart"/>
      <w:r w:rsidRPr="0062134A">
        <w:rPr>
          <w:sz w:val="28"/>
          <w:szCs w:val="28"/>
        </w:rPr>
        <w:t>пруденційних</w:t>
      </w:r>
      <w:proofErr w:type="spellEnd"/>
      <w:r w:rsidRPr="0062134A">
        <w:rPr>
          <w:sz w:val="28"/>
          <w:szCs w:val="28"/>
        </w:rPr>
        <w:t xml:space="preserve"> нормативів з урахуванням зменшення капіталу першого рівня на відповідну суму Довгострокової дебіторської заборгованості, розмір власних коштів Товариства принаймні станом на 31.10.2020 та 30.11.2020 повинен складати: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2456"/>
        <w:gridCol w:w="2486"/>
        <w:gridCol w:w="2447"/>
      </w:tblGrid>
      <w:tr w:rsidR="0062134A" w:rsidTr="00176538">
        <w:tc>
          <w:tcPr>
            <w:tcW w:w="2632" w:type="dxa"/>
          </w:tcPr>
          <w:p w:rsidR="0062134A" w:rsidRPr="00E32980" w:rsidRDefault="0062134A" w:rsidP="00176538">
            <w:pPr>
              <w:suppressAutoHyphens/>
              <w:jc w:val="center"/>
              <w:rPr>
                <w:rFonts w:eastAsia="Calibri"/>
                <w:sz w:val="26"/>
                <w:szCs w:val="26"/>
              </w:rPr>
            </w:pPr>
            <w:r>
              <w:t>Код ЄДРПОУ</w:t>
            </w:r>
          </w:p>
        </w:tc>
        <w:tc>
          <w:tcPr>
            <w:tcW w:w="2632" w:type="dxa"/>
          </w:tcPr>
          <w:p w:rsidR="0062134A" w:rsidRPr="00E32980" w:rsidRDefault="0062134A" w:rsidP="00176538">
            <w:pPr>
              <w:suppressAutoHyphens/>
              <w:jc w:val="center"/>
              <w:rPr>
                <w:rFonts w:eastAsia="Calibri"/>
                <w:sz w:val="26"/>
                <w:szCs w:val="26"/>
                <w:lang w:val="ru-RU"/>
              </w:rPr>
            </w:pPr>
            <w:proofErr w:type="spellStart"/>
            <w:r w:rsidRPr="00E32980">
              <w:rPr>
                <w:lang w:val="ru-RU"/>
              </w:rPr>
              <w:t>Назва</w:t>
            </w:r>
            <w:proofErr w:type="spellEnd"/>
          </w:p>
        </w:tc>
        <w:tc>
          <w:tcPr>
            <w:tcW w:w="2632" w:type="dxa"/>
          </w:tcPr>
          <w:p w:rsidR="0062134A" w:rsidRPr="00E32980" w:rsidRDefault="0062134A" w:rsidP="00176538">
            <w:pPr>
              <w:suppressAutoHyphens/>
              <w:jc w:val="center"/>
              <w:rPr>
                <w:rFonts w:eastAsia="Calibri"/>
                <w:sz w:val="26"/>
                <w:szCs w:val="26"/>
              </w:rPr>
            </w:pPr>
            <w:r>
              <w:t>Дата розрахунку</w:t>
            </w:r>
          </w:p>
        </w:tc>
        <w:tc>
          <w:tcPr>
            <w:tcW w:w="2633" w:type="dxa"/>
          </w:tcPr>
          <w:p w:rsidR="0062134A" w:rsidRPr="00E32980" w:rsidRDefault="0062134A" w:rsidP="00176538">
            <w:pPr>
              <w:suppressAutoHyphens/>
              <w:jc w:val="center"/>
              <w:rPr>
                <w:rFonts w:eastAsia="Calibri"/>
                <w:sz w:val="26"/>
                <w:szCs w:val="26"/>
              </w:rPr>
            </w:pPr>
            <w:r>
              <w:t xml:space="preserve">Розмір власних коштів, </w:t>
            </w:r>
            <w:proofErr w:type="spellStart"/>
            <w:r>
              <w:t>грн</w:t>
            </w:r>
            <w:proofErr w:type="spellEnd"/>
          </w:p>
        </w:tc>
      </w:tr>
      <w:tr w:rsidR="0062134A" w:rsidTr="00176538">
        <w:trPr>
          <w:trHeight w:val="345"/>
        </w:trPr>
        <w:tc>
          <w:tcPr>
            <w:tcW w:w="2632" w:type="dxa"/>
            <w:vMerge w:val="restart"/>
          </w:tcPr>
          <w:p w:rsidR="0062134A" w:rsidRPr="00E32980" w:rsidRDefault="0062134A" w:rsidP="00176538">
            <w:pPr>
              <w:suppressAutoHyphens/>
              <w:jc w:val="center"/>
              <w:rPr>
                <w:rFonts w:eastAsia="Calibri"/>
                <w:sz w:val="26"/>
                <w:szCs w:val="26"/>
              </w:rPr>
            </w:pPr>
            <w:r>
              <w:t>32523934</w:t>
            </w:r>
          </w:p>
        </w:tc>
        <w:tc>
          <w:tcPr>
            <w:tcW w:w="2632" w:type="dxa"/>
            <w:vMerge w:val="restart"/>
          </w:tcPr>
          <w:p w:rsidR="0062134A" w:rsidRPr="00E32980" w:rsidRDefault="0062134A" w:rsidP="00176538">
            <w:pPr>
              <w:suppressAutoHyphens/>
              <w:jc w:val="center"/>
              <w:rPr>
                <w:rFonts w:eastAsia="Calibri"/>
                <w:sz w:val="26"/>
                <w:szCs w:val="26"/>
              </w:rPr>
            </w:pPr>
            <w:r>
              <w:t>ТОВ «</w:t>
            </w:r>
            <w:proofErr w:type="spellStart"/>
            <w:r>
              <w:t>КУА</w:t>
            </w:r>
            <w:proofErr w:type="spellEnd"/>
            <w:r>
              <w:t xml:space="preserve"> «СВОП»</w:t>
            </w:r>
          </w:p>
        </w:tc>
        <w:tc>
          <w:tcPr>
            <w:tcW w:w="2632" w:type="dxa"/>
          </w:tcPr>
          <w:p w:rsidR="0062134A" w:rsidRPr="00E32980" w:rsidRDefault="0062134A" w:rsidP="00176538">
            <w:pPr>
              <w:suppressAutoHyphens/>
              <w:jc w:val="both"/>
              <w:rPr>
                <w:rFonts w:eastAsia="Calibri"/>
                <w:sz w:val="26"/>
                <w:szCs w:val="26"/>
              </w:rPr>
            </w:pPr>
            <w:r>
              <w:t>31.10.2020</w:t>
            </w:r>
          </w:p>
        </w:tc>
        <w:tc>
          <w:tcPr>
            <w:tcW w:w="2633" w:type="dxa"/>
          </w:tcPr>
          <w:p w:rsidR="0062134A" w:rsidRPr="00E32980" w:rsidRDefault="0062134A" w:rsidP="00176538">
            <w:pPr>
              <w:suppressAutoHyphens/>
              <w:jc w:val="center"/>
              <w:rPr>
                <w:rFonts w:eastAsia="Calibri"/>
                <w:b/>
                <w:sz w:val="26"/>
                <w:szCs w:val="26"/>
              </w:rPr>
            </w:pPr>
            <w:r w:rsidRPr="00E32980">
              <w:rPr>
                <w:b/>
              </w:rPr>
              <w:t>3 003 930,56</w:t>
            </w:r>
          </w:p>
        </w:tc>
      </w:tr>
      <w:tr w:rsidR="0062134A" w:rsidTr="00176538">
        <w:trPr>
          <w:trHeight w:val="255"/>
        </w:trPr>
        <w:tc>
          <w:tcPr>
            <w:tcW w:w="2632" w:type="dxa"/>
            <w:vMerge/>
          </w:tcPr>
          <w:p w:rsidR="0062134A" w:rsidRDefault="0062134A" w:rsidP="00176538">
            <w:pPr>
              <w:suppressAutoHyphens/>
              <w:jc w:val="both"/>
            </w:pPr>
          </w:p>
        </w:tc>
        <w:tc>
          <w:tcPr>
            <w:tcW w:w="2632" w:type="dxa"/>
            <w:vMerge/>
          </w:tcPr>
          <w:p w:rsidR="0062134A" w:rsidRDefault="0062134A" w:rsidP="00176538">
            <w:pPr>
              <w:suppressAutoHyphens/>
              <w:jc w:val="both"/>
            </w:pPr>
          </w:p>
        </w:tc>
        <w:tc>
          <w:tcPr>
            <w:tcW w:w="2632" w:type="dxa"/>
          </w:tcPr>
          <w:p w:rsidR="0062134A" w:rsidRPr="00E32980" w:rsidRDefault="0062134A" w:rsidP="00176538">
            <w:pPr>
              <w:suppressAutoHyphens/>
              <w:jc w:val="both"/>
              <w:rPr>
                <w:rFonts w:eastAsia="Calibri"/>
                <w:sz w:val="26"/>
                <w:szCs w:val="26"/>
              </w:rPr>
            </w:pPr>
            <w:r>
              <w:t>30.11.2020</w:t>
            </w:r>
          </w:p>
        </w:tc>
        <w:tc>
          <w:tcPr>
            <w:tcW w:w="2633" w:type="dxa"/>
          </w:tcPr>
          <w:p w:rsidR="0062134A" w:rsidRPr="00E32980" w:rsidRDefault="0062134A" w:rsidP="00176538">
            <w:pPr>
              <w:suppressAutoHyphens/>
              <w:jc w:val="center"/>
              <w:rPr>
                <w:rFonts w:eastAsia="Calibri"/>
                <w:b/>
                <w:sz w:val="26"/>
                <w:szCs w:val="26"/>
              </w:rPr>
            </w:pPr>
            <w:r w:rsidRPr="00E32980">
              <w:rPr>
                <w:b/>
              </w:rPr>
              <w:t>3 003 930,56</w:t>
            </w:r>
          </w:p>
        </w:tc>
      </w:tr>
    </w:tbl>
    <w:p w:rsidR="0062134A" w:rsidRPr="0062134A" w:rsidRDefault="0062134A" w:rsidP="0062134A">
      <w:pPr>
        <w:suppressAutoHyphens/>
        <w:ind w:firstLine="709"/>
        <w:jc w:val="both"/>
        <w:rPr>
          <w:sz w:val="28"/>
          <w:szCs w:val="28"/>
        </w:rPr>
      </w:pPr>
      <w:r w:rsidRPr="0062134A">
        <w:rPr>
          <w:sz w:val="28"/>
          <w:szCs w:val="28"/>
        </w:rPr>
        <w:t xml:space="preserve">Отже, принаймні станом на 31.10.2020 та 30.11.2020 розмір власних коштів не відповідає встановленому нормативному значенню. </w:t>
      </w:r>
    </w:p>
    <w:p w:rsidR="0062134A" w:rsidRPr="0062134A" w:rsidRDefault="0062134A" w:rsidP="0062134A">
      <w:pPr>
        <w:suppressAutoHyphens/>
        <w:ind w:firstLine="709"/>
        <w:jc w:val="both"/>
        <w:rPr>
          <w:rFonts w:eastAsia="Calibri"/>
          <w:b/>
          <w:sz w:val="28"/>
          <w:szCs w:val="28"/>
          <w:lang w:eastAsia="en-US"/>
        </w:rPr>
      </w:pPr>
      <w:r w:rsidRPr="0062134A">
        <w:rPr>
          <w:b/>
          <w:sz w:val="28"/>
          <w:szCs w:val="28"/>
        </w:rPr>
        <w:t xml:space="preserve">Таким чином, </w:t>
      </w:r>
      <w:r>
        <w:rPr>
          <w:b/>
          <w:sz w:val="28"/>
          <w:szCs w:val="28"/>
        </w:rPr>
        <w:t>в діях Товариства вбачаються ознаки порушення вимог</w:t>
      </w:r>
      <w:r w:rsidRPr="0062134A">
        <w:rPr>
          <w:b/>
          <w:sz w:val="28"/>
          <w:szCs w:val="28"/>
        </w:rPr>
        <w:t xml:space="preserve"> частини третьої статті 27 Закону України «Про цінні папери та фондовий ринок» та пункту 14 розділу І Ліцензійних умов № 1281 у частині недотримання </w:t>
      </w:r>
      <w:proofErr w:type="spellStart"/>
      <w:r w:rsidRPr="0062134A">
        <w:rPr>
          <w:b/>
          <w:sz w:val="28"/>
          <w:szCs w:val="28"/>
        </w:rPr>
        <w:t>пруденційних</w:t>
      </w:r>
      <w:proofErr w:type="spellEnd"/>
      <w:r w:rsidRPr="0062134A">
        <w:rPr>
          <w:b/>
          <w:sz w:val="28"/>
          <w:szCs w:val="28"/>
        </w:rPr>
        <w:t xml:space="preserve"> нормативів.</w:t>
      </w:r>
    </w:p>
    <w:p w:rsidR="0062134A" w:rsidRPr="0062134A" w:rsidRDefault="0062134A" w:rsidP="0062134A">
      <w:pPr>
        <w:suppressAutoHyphens/>
        <w:ind w:firstLine="709"/>
        <w:jc w:val="both"/>
        <w:rPr>
          <w:sz w:val="28"/>
          <w:szCs w:val="28"/>
        </w:rPr>
      </w:pPr>
    </w:p>
    <w:p w:rsidR="0062134A" w:rsidRPr="0062134A" w:rsidRDefault="0062134A" w:rsidP="0062134A">
      <w:pPr>
        <w:ind w:firstLine="709"/>
        <w:jc w:val="both"/>
        <w:rPr>
          <w:sz w:val="28"/>
          <w:szCs w:val="28"/>
        </w:rPr>
      </w:pPr>
      <w:r w:rsidRPr="0062134A">
        <w:rPr>
          <w:sz w:val="28"/>
          <w:szCs w:val="28"/>
        </w:rPr>
        <w:lastRenderedPageBreak/>
        <w:t>Окрім цього, відповідно до пункту 2 глави 3 розділу ІV Положення № 1597 норматив достатності власних коштів розраховується як відношення розміру власних коштів до величини, що становить 25 % від фіксованих накладних витрат установи за попередній фінансовий рік.</w:t>
      </w:r>
    </w:p>
    <w:p w:rsidR="0062134A" w:rsidRPr="0062134A" w:rsidRDefault="0062134A" w:rsidP="0062134A">
      <w:pPr>
        <w:ind w:firstLine="709"/>
        <w:jc w:val="both"/>
        <w:rPr>
          <w:sz w:val="28"/>
          <w:szCs w:val="28"/>
        </w:rPr>
      </w:pPr>
      <w:r w:rsidRPr="0062134A">
        <w:rPr>
          <w:sz w:val="28"/>
          <w:szCs w:val="28"/>
        </w:rPr>
        <w:t>Відповідно до пункту 2 глави 4 розділу ІV Положення № 1597 коефіцієнт покриття операційного ризику розраховується як відношення розміру власних коштів установи до величини її операційного ризику.</w:t>
      </w:r>
    </w:p>
    <w:p w:rsidR="0062134A" w:rsidRPr="0062134A" w:rsidRDefault="0062134A" w:rsidP="0062134A">
      <w:pPr>
        <w:pStyle w:val="af4"/>
        <w:spacing w:before="0" w:beforeAutospacing="0" w:after="0" w:afterAutospacing="0"/>
        <w:ind w:firstLine="720"/>
        <w:jc w:val="both"/>
        <w:rPr>
          <w:sz w:val="28"/>
          <w:szCs w:val="28"/>
        </w:rPr>
      </w:pPr>
      <w:r w:rsidRPr="0062134A">
        <w:rPr>
          <w:sz w:val="28"/>
          <w:szCs w:val="28"/>
        </w:rPr>
        <w:t xml:space="preserve">Відповідно до Положення № 1343 </w:t>
      </w:r>
      <w:r w:rsidRPr="0062134A">
        <w:rPr>
          <w:rStyle w:val="rvts23"/>
          <w:sz w:val="28"/>
          <w:szCs w:val="28"/>
        </w:rPr>
        <w:t xml:space="preserve">компанії з управління активами подають інформацію щодо </w:t>
      </w:r>
      <w:r w:rsidRPr="0062134A">
        <w:rPr>
          <w:sz w:val="28"/>
          <w:szCs w:val="28"/>
        </w:rPr>
        <w:t>Довгострокової дебіторської заборгованості у Довідці про розрахунок показника розміру власних коштів.</w:t>
      </w:r>
    </w:p>
    <w:p w:rsidR="006B0620" w:rsidRDefault="0062134A" w:rsidP="006B0620">
      <w:pPr>
        <w:pStyle w:val="af4"/>
        <w:spacing w:before="0" w:beforeAutospacing="0" w:after="0" w:afterAutospacing="0"/>
        <w:ind w:firstLine="720"/>
        <w:jc w:val="both"/>
        <w:rPr>
          <w:sz w:val="28"/>
          <w:szCs w:val="28"/>
          <w:lang w:val="uk-UA"/>
        </w:rPr>
      </w:pPr>
      <w:r w:rsidRPr="0062134A">
        <w:rPr>
          <w:sz w:val="28"/>
          <w:szCs w:val="28"/>
        </w:rPr>
        <w:t>При цьому, у складі Довідки про розрахунок показника розміру власних коштів Товариством була надана наступна інформація щодо Довгострокової дебіторської заборгованості:</w:t>
      </w:r>
    </w:p>
    <w:p w:rsidR="006B0620" w:rsidRPr="006B0620" w:rsidRDefault="006B0620" w:rsidP="006B0620">
      <w:pPr>
        <w:pStyle w:val="a9"/>
        <w:spacing w:before="0" w:beforeAutospacing="0" w:after="0" w:afterAutospacing="0"/>
        <w:rPr>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6"/>
        <w:gridCol w:w="2065"/>
        <w:gridCol w:w="2861"/>
        <w:gridCol w:w="2861"/>
      </w:tblGrid>
      <w:tr w:rsidR="0062134A" w:rsidRPr="00EF121B" w:rsidTr="00176538">
        <w:trPr>
          <w:trHeight w:val="696"/>
        </w:trPr>
        <w:tc>
          <w:tcPr>
            <w:tcW w:w="1048" w:type="pct"/>
            <w:vAlign w:val="center"/>
          </w:tcPr>
          <w:p w:rsidR="0062134A" w:rsidRPr="000D691F" w:rsidRDefault="0062134A" w:rsidP="006B0620">
            <w:pPr>
              <w:pStyle w:val="af4"/>
              <w:spacing w:before="0" w:beforeAutospacing="0" w:after="0" w:afterAutospacing="0"/>
              <w:jc w:val="center"/>
              <w:rPr>
                <w:rStyle w:val="rvts23"/>
              </w:rPr>
            </w:pPr>
            <w:r w:rsidRPr="000D691F">
              <w:rPr>
                <w:rStyle w:val="rvts23"/>
              </w:rPr>
              <w:t>Код ЄДРПОУ</w:t>
            </w:r>
          </w:p>
        </w:tc>
        <w:tc>
          <w:tcPr>
            <w:tcW w:w="1048" w:type="pct"/>
            <w:vAlign w:val="center"/>
          </w:tcPr>
          <w:p w:rsidR="0062134A" w:rsidRPr="000D691F" w:rsidRDefault="0062134A" w:rsidP="006B0620">
            <w:pPr>
              <w:pStyle w:val="af4"/>
              <w:spacing w:before="0" w:beforeAutospacing="0" w:after="0" w:afterAutospacing="0"/>
              <w:jc w:val="center"/>
              <w:rPr>
                <w:rStyle w:val="rvts23"/>
              </w:rPr>
            </w:pPr>
            <w:r w:rsidRPr="000D691F">
              <w:rPr>
                <w:rStyle w:val="rvts23"/>
              </w:rPr>
              <w:t>Назва</w:t>
            </w:r>
          </w:p>
        </w:tc>
        <w:tc>
          <w:tcPr>
            <w:tcW w:w="1452" w:type="pct"/>
            <w:vAlign w:val="center"/>
          </w:tcPr>
          <w:p w:rsidR="0062134A" w:rsidRPr="000D691F" w:rsidRDefault="0062134A" w:rsidP="006B0620">
            <w:pPr>
              <w:pStyle w:val="af4"/>
              <w:spacing w:before="0" w:beforeAutospacing="0" w:after="0" w:afterAutospacing="0"/>
              <w:jc w:val="center"/>
            </w:pPr>
            <w:r w:rsidRPr="000D691F">
              <w:t>Дата розрахунку</w:t>
            </w:r>
          </w:p>
        </w:tc>
        <w:tc>
          <w:tcPr>
            <w:tcW w:w="1452" w:type="pct"/>
            <w:vAlign w:val="center"/>
          </w:tcPr>
          <w:p w:rsidR="0062134A" w:rsidRPr="000D691F" w:rsidRDefault="0062134A" w:rsidP="006B0620">
            <w:pPr>
              <w:pStyle w:val="af4"/>
              <w:spacing w:before="0" w:beforeAutospacing="0" w:after="0" w:afterAutospacing="0"/>
              <w:jc w:val="center"/>
            </w:pPr>
            <w:r w:rsidRPr="000D691F">
              <w:t xml:space="preserve">Довгострокова дебіторська заборгованість, </w:t>
            </w:r>
            <w:proofErr w:type="spellStart"/>
            <w:r w:rsidRPr="000D691F">
              <w:t>грн</w:t>
            </w:r>
            <w:proofErr w:type="spellEnd"/>
          </w:p>
        </w:tc>
      </w:tr>
      <w:tr w:rsidR="0062134A" w:rsidRPr="00EF121B" w:rsidTr="00176538">
        <w:trPr>
          <w:trHeight w:val="70"/>
        </w:trPr>
        <w:tc>
          <w:tcPr>
            <w:tcW w:w="1048" w:type="pct"/>
            <w:vMerge w:val="restart"/>
            <w:vAlign w:val="center"/>
          </w:tcPr>
          <w:p w:rsidR="0062134A" w:rsidRPr="000D691F" w:rsidRDefault="0062134A" w:rsidP="006B0620">
            <w:pPr>
              <w:pStyle w:val="af4"/>
              <w:spacing w:before="0" w:beforeAutospacing="0" w:after="0" w:afterAutospacing="0"/>
              <w:jc w:val="center"/>
              <w:rPr>
                <w:rStyle w:val="rvts23"/>
              </w:rPr>
            </w:pPr>
            <w:r w:rsidRPr="000D691F">
              <w:rPr>
                <w:rStyle w:val="rvts23"/>
              </w:rPr>
              <w:t>32523934</w:t>
            </w:r>
          </w:p>
        </w:tc>
        <w:tc>
          <w:tcPr>
            <w:tcW w:w="1048" w:type="pct"/>
            <w:vMerge w:val="restart"/>
            <w:vAlign w:val="center"/>
          </w:tcPr>
          <w:p w:rsidR="0062134A" w:rsidRPr="000D691F" w:rsidRDefault="0062134A" w:rsidP="006B0620">
            <w:pPr>
              <w:pStyle w:val="af4"/>
              <w:spacing w:before="0" w:beforeAutospacing="0" w:after="0" w:afterAutospacing="0"/>
              <w:jc w:val="center"/>
              <w:rPr>
                <w:rStyle w:val="rvts23"/>
              </w:rPr>
            </w:pPr>
            <w:r w:rsidRPr="000D691F">
              <w:rPr>
                <w:rStyle w:val="rvts23"/>
              </w:rPr>
              <w:t xml:space="preserve">ТОВ </w:t>
            </w:r>
            <w:proofErr w:type="spellStart"/>
            <w:r w:rsidRPr="000D691F">
              <w:rPr>
                <w:rStyle w:val="rvts23"/>
              </w:rPr>
              <w:t>КУА</w:t>
            </w:r>
            <w:proofErr w:type="spellEnd"/>
            <w:r w:rsidRPr="000D691F">
              <w:rPr>
                <w:rStyle w:val="rvts23"/>
              </w:rPr>
              <w:t xml:space="preserve"> «СВОП»</w:t>
            </w:r>
          </w:p>
        </w:tc>
        <w:tc>
          <w:tcPr>
            <w:tcW w:w="1452" w:type="pct"/>
          </w:tcPr>
          <w:p w:rsidR="0062134A" w:rsidRPr="000D691F" w:rsidRDefault="0062134A" w:rsidP="006B0620">
            <w:pPr>
              <w:pStyle w:val="af4"/>
              <w:spacing w:before="0" w:beforeAutospacing="0" w:after="0" w:afterAutospacing="0"/>
              <w:jc w:val="center"/>
              <w:rPr>
                <w:rStyle w:val="rvts23"/>
              </w:rPr>
            </w:pPr>
          </w:p>
        </w:tc>
        <w:tc>
          <w:tcPr>
            <w:tcW w:w="1452" w:type="pct"/>
            <w:vAlign w:val="center"/>
          </w:tcPr>
          <w:p w:rsidR="0062134A" w:rsidRPr="000D691F" w:rsidRDefault="0062134A" w:rsidP="006B0620">
            <w:pPr>
              <w:pStyle w:val="af4"/>
              <w:spacing w:before="0" w:beforeAutospacing="0" w:after="0" w:afterAutospacing="0"/>
              <w:jc w:val="center"/>
            </w:pPr>
            <w:proofErr w:type="spellStart"/>
            <w:r w:rsidRPr="000D691F">
              <w:rPr>
                <w:rStyle w:val="rvts23"/>
              </w:rPr>
              <w:t>dzd</w:t>
            </w:r>
            <w:proofErr w:type="spellEnd"/>
          </w:p>
        </w:tc>
      </w:tr>
      <w:tr w:rsidR="0062134A" w:rsidRPr="00EF121B" w:rsidTr="00176538">
        <w:trPr>
          <w:trHeight w:val="68"/>
        </w:trPr>
        <w:tc>
          <w:tcPr>
            <w:tcW w:w="1048" w:type="pct"/>
            <w:vMerge/>
          </w:tcPr>
          <w:p w:rsidR="0062134A" w:rsidRPr="000D691F" w:rsidRDefault="0062134A" w:rsidP="006B0620">
            <w:pPr>
              <w:jc w:val="center"/>
            </w:pPr>
          </w:p>
        </w:tc>
        <w:tc>
          <w:tcPr>
            <w:tcW w:w="1048" w:type="pct"/>
            <w:vMerge/>
          </w:tcPr>
          <w:p w:rsidR="0062134A" w:rsidRPr="000D691F" w:rsidRDefault="0062134A" w:rsidP="006B0620">
            <w:pPr>
              <w:jc w:val="center"/>
            </w:pPr>
          </w:p>
        </w:tc>
        <w:tc>
          <w:tcPr>
            <w:tcW w:w="1452" w:type="pct"/>
          </w:tcPr>
          <w:p w:rsidR="0062134A" w:rsidRPr="000D691F" w:rsidRDefault="0062134A" w:rsidP="006B0620">
            <w:pPr>
              <w:pStyle w:val="af4"/>
              <w:spacing w:before="0" w:beforeAutospacing="0" w:after="0" w:afterAutospacing="0"/>
              <w:jc w:val="center"/>
            </w:pPr>
            <w:r w:rsidRPr="000D691F">
              <w:t>31.10.2020</w:t>
            </w:r>
          </w:p>
        </w:tc>
        <w:tc>
          <w:tcPr>
            <w:tcW w:w="1452" w:type="pct"/>
          </w:tcPr>
          <w:p w:rsidR="0062134A" w:rsidRPr="000D691F" w:rsidRDefault="0062134A" w:rsidP="006B0620">
            <w:pPr>
              <w:pStyle w:val="af4"/>
              <w:spacing w:before="0" w:beforeAutospacing="0" w:after="0" w:afterAutospacing="0"/>
              <w:jc w:val="center"/>
            </w:pPr>
            <w:r w:rsidRPr="000D691F">
              <w:t>0,00</w:t>
            </w:r>
          </w:p>
        </w:tc>
      </w:tr>
      <w:tr w:rsidR="0062134A" w:rsidRPr="00EF121B" w:rsidTr="00176538">
        <w:trPr>
          <w:trHeight w:val="68"/>
        </w:trPr>
        <w:tc>
          <w:tcPr>
            <w:tcW w:w="1048" w:type="pct"/>
            <w:vMerge/>
          </w:tcPr>
          <w:p w:rsidR="0062134A" w:rsidRPr="000D691F" w:rsidRDefault="0062134A" w:rsidP="006B0620">
            <w:pPr>
              <w:jc w:val="center"/>
            </w:pPr>
          </w:p>
        </w:tc>
        <w:tc>
          <w:tcPr>
            <w:tcW w:w="1048" w:type="pct"/>
            <w:vMerge/>
          </w:tcPr>
          <w:p w:rsidR="0062134A" w:rsidRPr="000D691F" w:rsidRDefault="0062134A" w:rsidP="006B0620">
            <w:pPr>
              <w:jc w:val="center"/>
            </w:pPr>
          </w:p>
        </w:tc>
        <w:tc>
          <w:tcPr>
            <w:tcW w:w="1452" w:type="pct"/>
          </w:tcPr>
          <w:p w:rsidR="0062134A" w:rsidRPr="000D691F" w:rsidRDefault="0062134A" w:rsidP="006B0620">
            <w:pPr>
              <w:pStyle w:val="af4"/>
              <w:spacing w:before="0" w:beforeAutospacing="0" w:after="0" w:afterAutospacing="0"/>
              <w:jc w:val="center"/>
            </w:pPr>
            <w:r w:rsidRPr="000D691F">
              <w:t>30.11.2020</w:t>
            </w:r>
          </w:p>
        </w:tc>
        <w:tc>
          <w:tcPr>
            <w:tcW w:w="1452" w:type="pct"/>
          </w:tcPr>
          <w:p w:rsidR="0062134A" w:rsidRPr="000D691F" w:rsidRDefault="0062134A" w:rsidP="006B0620">
            <w:pPr>
              <w:pStyle w:val="af4"/>
              <w:spacing w:before="0" w:beforeAutospacing="0" w:after="0" w:afterAutospacing="0"/>
              <w:jc w:val="center"/>
            </w:pPr>
            <w:r w:rsidRPr="000D691F">
              <w:t>0,00</w:t>
            </w:r>
          </w:p>
        </w:tc>
      </w:tr>
    </w:tbl>
    <w:p w:rsidR="0062134A" w:rsidRDefault="0062134A" w:rsidP="006B0620">
      <w:pPr>
        <w:ind w:firstLine="709"/>
        <w:jc w:val="both"/>
        <w:rPr>
          <w:sz w:val="28"/>
          <w:szCs w:val="28"/>
          <w:shd w:val="clear" w:color="auto" w:fill="FFFFFF"/>
        </w:rPr>
      </w:pPr>
      <w:r w:rsidRPr="0062134A">
        <w:rPr>
          <w:sz w:val="28"/>
          <w:szCs w:val="28"/>
        </w:rPr>
        <w:t>Виходячи з наведеного,</w:t>
      </w:r>
      <w:r w:rsidRPr="0062134A">
        <w:rPr>
          <w:sz w:val="28"/>
          <w:szCs w:val="28"/>
          <w:shd w:val="clear" w:color="auto" w:fill="FFFFFF"/>
        </w:rPr>
        <w:t xml:space="preserve"> Товариство </w:t>
      </w:r>
      <w:r w:rsidRPr="0062134A">
        <w:rPr>
          <w:noProof/>
          <w:sz w:val="28"/>
          <w:szCs w:val="28"/>
        </w:rPr>
        <w:t>подало до Комісії недостовірну</w:t>
      </w:r>
      <w:r w:rsidRPr="0062134A">
        <w:rPr>
          <w:b/>
          <w:noProof/>
          <w:sz w:val="28"/>
          <w:szCs w:val="28"/>
        </w:rPr>
        <w:t xml:space="preserve"> </w:t>
      </w:r>
      <w:r w:rsidRPr="0062134A">
        <w:rPr>
          <w:noProof/>
          <w:sz w:val="28"/>
          <w:szCs w:val="28"/>
        </w:rPr>
        <w:t xml:space="preserve">інформацію </w:t>
      </w:r>
      <w:r w:rsidRPr="0062134A">
        <w:rPr>
          <w:sz w:val="28"/>
          <w:szCs w:val="28"/>
        </w:rPr>
        <w:t>у Довідці про розрахунок показника розміру власних коштів</w:t>
      </w:r>
      <w:r w:rsidRPr="0062134A">
        <w:rPr>
          <w:sz w:val="28"/>
          <w:szCs w:val="28"/>
          <w:shd w:val="clear" w:color="auto" w:fill="FFFFFF"/>
        </w:rPr>
        <w:t xml:space="preserve"> щодо Довгострокової дебіторської заборгованості.</w:t>
      </w:r>
    </w:p>
    <w:p w:rsidR="006B0620" w:rsidRPr="0062134A" w:rsidRDefault="006B0620" w:rsidP="006B0620">
      <w:pPr>
        <w:ind w:firstLine="709"/>
        <w:jc w:val="both"/>
        <w:rPr>
          <w:sz w:val="28"/>
          <w:szCs w:val="28"/>
          <w:shd w:val="clear" w:color="auto" w:fill="FFFFFF"/>
        </w:rPr>
      </w:pPr>
    </w:p>
    <w:p w:rsidR="0062134A" w:rsidRPr="0062134A" w:rsidRDefault="0062134A" w:rsidP="006B0620">
      <w:pPr>
        <w:suppressAutoHyphens/>
        <w:ind w:firstLine="709"/>
        <w:jc w:val="both"/>
        <w:rPr>
          <w:sz w:val="28"/>
          <w:szCs w:val="28"/>
        </w:rPr>
      </w:pPr>
      <w:r w:rsidRPr="0062134A">
        <w:rPr>
          <w:sz w:val="28"/>
          <w:szCs w:val="28"/>
        </w:rPr>
        <w:t xml:space="preserve">Також, Комісією встановлено, що при здійсненні розрахунку </w:t>
      </w:r>
      <w:proofErr w:type="spellStart"/>
      <w:r w:rsidRPr="0062134A">
        <w:rPr>
          <w:sz w:val="28"/>
          <w:szCs w:val="28"/>
        </w:rPr>
        <w:t>пруденційних</w:t>
      </w:r>
      <w:proofErr w:type="spellEnd"/>
      <w:r w:rsidRPr="0062134A">
        <w:rPr>
          <w:sz w:val="28"/>
          <w:szCs w:val="28"/>
        </w:rPr>
        <w:t xml:space="preserve"> нормативів з урахуванням зменшення капіталу першого рівня на відповідну суму Довгострокової дебіторської заборгованості, розмір власних коштів, норматив достатності власних коштів та коефіцієнт покриття операційного ризику Товариства станом на 31.10.2020 та 30.11.2020 повинні складати: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21"/>
        <w:gridCol w:w="2470"/>
        <w:gridCol w:w="2495"/>
      </w:tblGrid>
      <w:tr w:rsidR="0062134A" w:rsidTr="00176538">
        <w:tc>
          <w:tcPr>
            <w:tcW w:w="2632" w:type="dxa"/>
          </w:tcPr>
          <w:p w:rsidR="0062134A" w:rsidRPr="00E32980" w:rsidRDefault="0062134A" w:rsidP="00176538">
            <w:pPr>
              <w:suppressAutoHyphens/>
              <w:jc w:val="center"/>
              <w:rPr>
                <w:rFonts w:eastAsia="Calibri"/>
                <w:sz w:val="26"/>
                <w:szCs w:val="26"/>
              </w:rPr>
            </w:pPr>
            <w:r>
              <w:t>Дата розрахунку</w:t>
            </w:r>
          </w:p>
        </w:tc>
        <w:tc>
          <w:tcPr>
            <w:tcW w:w="2632" w:type="dxa"/>
          </w:tcPr>
          <w:p w:rsidR="0062134A" w:rsidRPr="00E32980" w:rsidRDefault="0062134A" w:rsidP="00176538">
            <w:pPr>
              <w:suppressAutoHyphens/>
              <w:jc w:val="center"/>
              <w:rPr>
                <w:rFonts w:eastAsia="Calibri"/>
                <w:sz w:val="26"/>
                <w:szCs w:val="26"/>
              </w:rPr>
            </w:pPr>
            <w:r>
              <w:t xml:space="preserve">Розмір власних коштів, </w:t>
            </w:r>
            <w:proofErr w:type="spellStart"/>
            <w:r>
              <w:t>грн</w:t>
            </w:r>
            <w:proofErr w:type="spellEnd"/>
          </w:p>
        </w:tc>
        <w:tc>
          <w:tcPr>
            <w:tcW w:w="2632" w:type="dxa"/>
          </w:tcPr>
          <w:p w:rsidR="0062134A" w:rsidRPr="00E32980" w:rsidRDefault="0062134A" w:rsidP="00176538">
            <w:pPr>
              <w:suppressAutoHyphens/>
              <w:jc w:val="center"/>
              <w:rPr>
                <w:rFonts w:eastAsia="Calibri"/>
                <w:sz w:val="26"/>
                <w:szCs w:val="26"/>
              </w:rPr>
            </w:pPr>
            <w:r>
              <w:t xml:space="preserve">Норматив достатності власних коштів </w:t>
            </w:r>
          </w:p>
        </w:tc>
        <w:tc>
          <w:tcPr>
            <w:tcW w:w="2633" w:type="dxa"/>
          </w:tcPr>
          <w:p w:rsidR="0062134A" w:rsidRPr="00E32980" w:rsidRDefault="0062134A" w:rsidP="00176538">
            <w:pPr>
              <w:suppressAutoHyphens/>
              <w:jc w:val="center"/>
              <w:rPr>
                <w:rFonts w:eastAsia="Calibri"/>
                <w:sz w:val="26"/>
                <w:szCs w:val="26"/>
              </w:rPr>
            </w:pPr>
            <w:r>
              <w:t xml:space="preserve">Коефіцієнт покриття операційного ризику </w:t>
            </w:r>
          </w:p>
        </w:tc>
      </w:tr>
      <w:tr w:rsidR="0062134A" w:rsidRPr="006933C1" w:rsidTr="00176538">
        <w:trPr>
          <w:trHeight w:val="375"/>
        </w:trPr>
        <w:tc>
          <w:tcPr>
            <w:tcW w:w="2632" w:type="dxa"/>
          </w:tcPr>
          <w:p w:rsidR="0062134A" w:rsidRPr="00E32980" w:rsidRDefault="0062134A" w:rsidP="00176538">
            <w:pPr>
              <w:suppressAutoHyphens/>
              <w:jc w:val="center"/>
              <w:rPr>
                <w:rFonts w:eastAsia="Calibri"/>
                <w:sz w:val="26"/>
                <w:szCs w:val="26"/>
                <w:lang w:val="ru-RU"/>
              </w:rPr>
            </w:pPr>
            <w:r w:rsidRPr="00E32980">
              <w:rPr>
                <w:lang w:val="ru-RU"/>
              </w:rPr>
              <w:t>31.10.2020</w:t>
            </w:r>
          </w:p>
        </w:tc>
        <w:tc>
          <w:tcPr>
            <w:tcW w:w="2632" w:type="dxa"/>
          </w:tcPr>
          <w:p w:rsidR="0062134A" w:rsidRPr="00E32980" w:rsidRDefault="0062134A" w:rsidP="00176538">
            <w:pPr>
              <w:suppressAutoHyphens/>
              <w:jc w:val="center"/>
              <w:rPr>
                <w:rFonts w:eastAsia="Calibri"/>
                <w:sz w:val="26"/>
                <w:szCs w:val="26"/>
              </w:rPr>
            </w:pPr>
            <w:r w:rsidRPr="00E32980">
              <w:rPr>
                <w:b/>
              </w:rPr>
              <w:t>3 003 930,56</w:t>
            </w:r>
          </w:p>
        </w:tc>
        <w:tc>
          <w:tcPr>
            <w:tcW w:w="2632" w:type="dxa"/>
          </w:tcPr>
          <w:p w:rsidR="0062134A" w:rsidRPr="00E32980" w:rsidRDefault="0062134A" w:rsidP="00176538">
            <w:pPr>
              <w:suppressAutoHyphens/>
              <w:jc w:val="center"/>
              <w:rPr>
                <w:rFonts w:eastAsia="Calibri"/>
                <w:sz w:val="26"/>
                <w:szCs w:val="26"/>
                <w:lang w:val="ru-RU"/>
              </w:rPr>
            </w:pPr>
            <w:r w:rsidRPr="00E32980">
              <w:rPr>
                <w:lang w:val="ru-RU"/>
              </w:rPr>
              <w:t>48,8750</w:t>
            </w:r>
          </w:p>
        </w:tc>
        <w:tc>
          <w:tcPr>
            <w:tcW w:w="2633" w:type="dxa"/>
          </w:tcPr>
          <w:p w:rsidR="0062134A" w:rsidRPr="00E32980" w:rsidRDefault="0062134A" w:rsidP="00176538">
            <w:pPr>
              <w:suppressAutoHyphens/>
              <w:jc w:val="center"/>
              <w:rPr>
                <w:rFonts w:eastAsia="Calibri"/>
                <w:b/>
                <w:sz w:val="26"/>
                <w:szCs w:val="26"/>
              </w:rPr>
            </w:pPr>
            <w:r w:rsidRPr="00E32980">
              <w:rPr>
                <w:lang w:val="ru-RU"/>
              </w:rPr>
              <w:t>109, 9380</w:t>
            </w:r>
          </w:p>
        </w:tc>
      </w:tr>
      <w:tr w:rsidR="0062134A" w:rsidRPr="006933C1" w:rsidTr="00176538">
        <w:trPr>
          <w:trHeight w:val="255"/>
        </w:trPr>
        <w:tc>
          <w:tcPr>
            <w:tcW w:w="2632" w:type="dxa"/>
          </w:tcPr>
          <w:p w:rsidR="0062134A" w:rsidRPr="00E32980" w:rsidRDefault="0062134A" w:rsidP="00176538">
            <w:pPr>
              <w:suppressAutoHyphens/>
              <w:jc w:val="center"/>
              <w:rPr>
                <w:lang w:val="ru-RU"/>
              </w:rPr>
            </w:pPr>
            <w:r w:rsidRPr="00E32980">
              <w:rPr>
                <w:lang w:val="ru-RU"/>
              </w:rPr>
              <w:t>30.11.2020</w:t>
            </w:r>
          </w:p>
        </w:tc>
        <w:tc>
          <w:tcPr>
            <w:tcW w:w="2632" w:type="dxa"/>
          </w:tcPr>
          <w:p w:rsidR="0062134A" w:rsidRDefault="0062134A" w:rsidP="00176538">
            <w:pPr>
              <w:suppressAutoHyphens/>
              <w:jc w:val="center"/>
            </w:pPr>
            <w:r w:rsidRPr="00E32980">
              <w:rPr>
                <w:b/>
              </w:rPr>
              <w:t>3 003 930,56</w:t>
            </w:r>
          </w:p>
        </w:tc>
        <w:tc>
          <w:tcPr>
            <w:tcW w:w="2632" w:type="dxa"/>
          </w:tcPr>
          <w:p w:rsidR="0062134A" w:rsidRPr="00E32980" w:rsidRDefault="0062134A" w:rsidP="00176538">
            <w:pPr>
              <w:suppressAutoHyphens/>
              <w:jc w:val="center"/>
              <w:rPr>
                <w:rFonts w:eastAsia="Calibri"/>
                <w:sz w:val="26"/>
                <w:szCs w:val="26"/>
              </w:rPr>
            </w:pPr>
            <w:r w:rsidRPr="00E32980">
              <w:rPr>
                <w:lang w:val="ru-RU"/>
              </w:rPr>
              <w:t>48,8750</w:t>
            </w:r>
          </w:p>
        </w:tc>
        <w:tc>
          <w:tcPr>
            <w:tcW w:w="2633" w:type="dxa"/>
          </w:tcPr>
          <w:p w:rsidR="0062134A" w:rsidRPr="00E32980" w:rsidRDefault="0062134A" w:rsidP="00176538">
            <w:pPr>
              <w:suppressAutoHyphens/>
              <w:jc w:val="center"/>
              <w:rPr>
                <w:rFonts w:eastAsia="Calibri"/>
                <w:sz w:val="26"/>
                <w:szCs w:val="26"/>
              </w:rPr>
            </w:pPr>
            <w:r w:rsidRPr="005C4264">
              <w:t>109, 9380</w:t>
            </w:r>
          </w:p>
        </w:tc>
      </w:tr>
    </w:tbl>
    <w:p w:rsidR="0062134A" w:rsidRPr="0062134A" w:rsidRDefault="0062134A" w:rsidP="0062134A">
      <w:pPr>
        <w:suppressAutoHyphens/>
        <w:ind w:firstLine="709"/>
        <w:jc w:val="both"/>
        <w:rPr>
          <w:sz w:val="28"/>
          <w:szCs w:val="28"/>
        </w:rPr>
      </w:pPr>
      <w:r w:rsidRPr="0062134A">
        <w:rPr>
          <w:sz w:val="28"/>
          <w:szCs w:val="28"/>
        </w:rPr>
        <w:t xml:space="preserve">Відповідно до Положення № 1343 компанія з управління активами подає до Комісії інформацію щодо значень </w:t>
      </w:r>
      <w:proofErr w:type="spellStart"/>
      <w:r w:rsidRPr="0062134A">
        <w:rPr>
          <w:sz w:val="28"/>
          <w:szCs w:val="28"/>
        </w:rPr>
        <w:t>пруденційних</w:t>
      </w:r>
      <w:proofErr w:type="spellEnd"/>
      <w:r w:rsidRPr="0062134A">
        <w:rPr>
          <w:sz w:val="28"/>
          <w:szCs w:val="28"/>
        </w:rPr>
        <w:t xml:space="preserve"> нормативів у Довідці про розрахунок показника розміру власних коштів, Довідці про розрахунок нормативу достатності власних коштів, Довідці про розрахунок коефіцієнта покриття операційного ризику. </w:t>
      </w:r>
    </w:p>
    <w:p w:rsidR="0062134A" w:rsidRDefault="0062134A" w:rsidP="0062134A">
      <w:pPr>
        <w:suppressAutoHyphens/>
        <w:ind w:firstLine="709"/>
        <w:jc w:val="both"/>
        <w:rPr>
          <w:sz w:val="28"/>
          <w:szCs w:val="28"/>
        </w:rPr>
      </w:pPr>
      <w:r w:rsidRPr="0062134A">
        <w:rPr>
          <w:sz w:val="28"/>
          <w:szCs w:val="28"/>
        </w:rPr>
        <w:t>Відповідно до інформації, поданої Товариством до Комісії у складі Довідки про розрахунок показника розміру власних коштів, Довідки про розрахунок нормативу достатності власних коштів та Довідки про розрахунок коефіцієнта покриття операційного ризику, значення розміру власних коштів, нормативу достатності власних коштів та коефіцієнта покриття операційного ризику складають:</w:t>
      </w:r>
    </w:p>
    <w:p w:rsidR="006B0620" w:rsidRDefault="006B0620" w:rsidP="0062134A">
      <w:pPr>
        <w:suppressAutoHyphens/>
        <w:ind w:firstLine="709"/>
        <w:jc w:val="both"/>
        <w:rPr>
          <w:sz w:val="28"/>
          <w:szCs w:val="28"/>
        </w:rPr>
      </w:pPr>
    </w:p>
    <w:p w:rsidR="006B0620" w:rsidRDefault="006B0620" w:rsidP="0062134A">
      <w:pPr>
        <w:suppressAutoHyphens/>
        <w:ind w:firstLine="709"/>
        <w:jc w:val="both"/>
        <w:rPr>
          <w:sz w:val="28"/>
          <w:szCs w:val="28"/>
        </w:rPr>
      </w:pPr>
    </w:p>
    <w:p w:rsidR="006B0620" w:rsidRPr="0062134A" w:rsidRDefault="006B0620" w:rsidP="0062134A">
      <w:pPr>
        <w:suppressAutoHyphens/>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21"/>
        <w:gridCol w:w="2470"/>
        <w:gridCol w:w="2495"/>
      </w:tblGrid>
      <w:tr w:rsidR="0062134A" w:rsidTr="00176538">
        <w:tc>
          <w:tcPr>
            <w:tcW w:w="2632" w:type="dxa"/>
          </w:tcPr>
          <w:p w:rsidR="0062134A" w:rsidRPr="00E32980" w:rsidRDefault="0062134A" w:rsidP="00176538">
            <w:pPr>
              <w:suppressAutoHyphens/>
              <w:jc w:val="center"/>
              <w:rPr>
                <w:rFonts w:eastAsia="Calibri"/>
                <w:sz w:val="26"/>
                <w:szCs w:val="26"/>
              </w:rPr>
            </w:pPr>
            <w:r>
              <w:t>Дата розрахунку</w:t>
            </w:r>
          </w:p>
        </w:tc>
        <w:tc>
          <w:tcPr>
            <w:tcW w:w="2632" w:type="dxa"/>
          </w:tcPr>
          <w:p w:rsidR="0062134A" w:rsidRPr="00E32980" w:rsidRDefault="0062134A" w:rsidP="00176538">
            <w:pPr>
              <w:suppressAutoHyphens/>
              <w:jc w:val="center"/>
              <w:rPr>
                <w:rFonts w:eastAsia="Calibri"/>
                <w:sz w:val="26"/>
                <w:szCs w:val="26"/>
              </w:rPr>
            </w:pPr>
            <w:r>
              <w:t xml:space="preserve">Розмір власних коштів, </w:t>
            </w:r>
            <w:proofErr w:type="spellStart"/>
            <w:r>
              <w:t>грн</w:t>
            </w:r>
            <w:proofErr w:type="spellEnd"/>
          </w:p>
        </w:tc>
        <w:tc>
          <w:tcPr>
            <w:tcW w:w="2632" w:type="dxa"/>
          </w:tcPr>
          <w:p w:rsidR="0062134A" w:rsidRPr="00E32980" w:rsidRDefault="0062134A" w:rsidP="00176538">
            <w:pPr>
              <w:suppressAutoHyphens/>
              <w:jc w:val="center"/>
              <w:rPr>
                <w:rFonts w:eastAsia="Calibri"/>
                <w:sz w:val="26"/>
                <w:szCs w:val="26"/>
              </w:rPr>
            </w:pPr>
            <w:r>
              <w:t>Норматив достатності власних коштів</w:t>
            </w:r>
          </w:p>
        </w:tc>
        <w:tc>
          <w:tcPr>
            <w:tcW w:w="2633" w:type="dxa"/>
          </w:tcPr>
          <w:p w:rsidR="0062134A" w:rsidRPr="00E32980" w:rsidRDefault="0062134A" w:rsidP="00176538">
            <w:pPr>
              <w:suppressAutoHyphens/>
              <w:jc w:val="center"/>
              <w:rPr>
                <w:rFonts w:eastAsia="Calibri"/>
                <w:sz w:val="26"/>
                <w:szCs w:val="26"/>
              </w:rPr>
            </w:pPr>
            <w:r>
              <w:t>Коефіцієнт покриття операційного ризику</w:t>
            </w:r>
          </w:p>
        </w:tc>
      </w:tr>
      <w:tr w:rsidR="0062134A" w:rsidRPr="006933C1" w:rsidTr="00176538">
        <w:trPr>
          <w:trHeight w:val="375"/>
        </w:trPr>
        <w:tc>
          <w:tcPr>
            <w:tcW w:w="2632" w:type="dxa"/>
          </w:tcPr>
          <w:p w:rsidR="0062134A" w:rsidRPr="00E32980" w:rsidRDefault="0062134A" w:rsidP="00176538">
            <w:pPr>
              <w:suppressAutoHyphens/>
              <w:jc w:val="center"/>
              <w:rPr>
                <w:rFonts w:eastAsia="Calibri"/>
                <w:sz w:val="26"/>
                <w:szCs w:val="26"/>
                <w:lang w:val="ru-RU"/>
              </w:rPr>
            </w:pPr>
            <w:r w:rsidRPr="00E32980">
              <w:rPr>
                <w:lang w:val="ru-RU"/>
              </w:rPr>
              <w:t>31.10.2020</w:t>
            </w:r>
          </w:p>
        </w:tc>
        <w:tc>
          <w:tcPr>
            <w:tcW w:w="2632" w:type="dxa"/>
          </w:tcPr>
          <w:p w:rsidR="0062134A" w:rsidRPr="00E32980" w:rsidRDefault="0062134A" w:rsidP="00176538">
            <w:pPr>
              <w:suppressAutoHyphens/>
              <w:jc w:val="center"/>
              <w:rPr>
                <w:rFonts w:eastAsia="Calibri"/>
                <w:sz w:val="26"/>
                <w:szCs w:val="26"/>
              </w:rPr>
            </w:pPr>
            <w:r>
              <w:t>3 609 393,73</w:t>
            </w:r>
          </w:p>
        </w:tc>
        <w:tc>
          <w:tcPr>
            <w:tcW w:w="2632" w:type="dxa"/>
          </w:tcPr>
          <w:p w:rsidR="0062134A" w:rsidRPr="00E32980" w:rsidRDefault="0062134A" w:rsidP="00176538">
            <w:pPr>
              <w:suppressAutoHyphens/>
              <w:jc w:val="center"/>
              <w:rPr>
                <w:rFonts w:eastAsia="Calibri"/>
                <w:sz w:val="26"/>
                <w:szCs w:val="26"/>
                <w:lang w:val="ru-RU"/>
              </w:rPr>
            </w:pPr>
            <w:r>
              <w:t>58,7261</w:t>
            </w:r>
          </w:p>
        </w:tc>
        <w:tc>
          <w:tcPr>
            <w:tcW w:w="2633" w:type="dxa"/>
          </w:tcPr>
          <w:p w:rsidR="0062134A" w:rsidRPr="00E32980" w:rsidRDefault="0062134A" w:rsidP="00176538">
            <w:pPr>
              <w:suppressAutoHyphens/>
              <w:jc w:val="center"/>
              <w:rPr>
                <w:rFonts w:eastAsia="Calibri"/>
                <w:b/>
                <w:sz w:val="26"/>
                <w:szCs w:val="26"/>
              </w:rPr>
            </w:pPr>
            <w:r>
              <w:t>132,0967</w:t>
            </w:r>
          </w:p>
        </w:tc>
      </w:tr>
      <w:tr w:rsidR="0062134A" w:rsidRPr="005C4264" w:rsidTr="00176538">
        <w:trPr>
          <w:trHeight w:val="255"/>
        </w:trPr>
        <w:tc>
          <w:tcPr>
            <w:tcW w:w="2632" w:type="dxa"/>
          </w:tcPr>
          <w:p w:rsidR="0062134A" w:rsidRPr="00E32980" w:rsidRDefault="0062134A" w:rsidP="00176538">
            <w:pPr>
              <w:suppressAutoHyphens/>
              <w:jc w:val="center"/>
              <w:rPr>
                <w:lang w:val="ru-RU"/>
              </w:rPr>
            </w:pPr>
            <w:r w:rsidRPr="00E32980">
              <w:rPr>
                <w:lang w:val="ru-RU"/>
              </w:rPr>
              <w:t>30.11.2020</w:t>
            </w:r>
          </w:p>
        </w:tc>
        <w:tc>
          <w:tcPr>
            <w:tcW w:w="2632" w:type="dxa"/>
          </w:tcPr>
          <w:p w:rsidR="0062134A" w:rsidRDefault="0062134A" w:rsidP="00176538">
            <w:pPr>
              <w:suppressAutoHyphens/>
              <w:jc w:val="center"/>
            </w:pPr>
            <w:r>
              <w:t>3 609 393,73</w:t>
            </w:r>
          </w:p>
        </w:tc>
        <w:tc>
          <w:tcPr>
            <w:tcW w:w="2632" w:type="dxa"/>
          </w:tcPr>
          <w:p w:rsidR="0062134A" w:rsidRPr="00E32980" w:rsidRDefault="0062134A" w:rsidP="00176538">
            <w:pPr>
              <w:suppressAutoHyphens/>
              <w:jc w:val="center"/>
              <w:rPr>
                <w:rFonts w:eastAsia="Calibri"/>
                <w:sz w:val="26"/>
                <w:szCs w:val="26"/>
              </w:rPr>
            </w:pPr>
            <w:r>
              <w:t>58,7261</w:t>
            </w:r>
          </w:p>
        </w:tc>
        <w:tc>
          <w:tcPr>
            <w:tcW w:w="2633" w:type="dxa"/>
          </w:tcPr>
          <w:p w:rsidR="0062134A" w:rsidRPr="00E32980" w:rsidRDefault="0062134A" w:rsidP="00176538">
            <w:pPr>
              <w:suppressAutoHyphens/>
              <w:jc w:val="center"/>
              <w:rPr>
                <w:rFonts w:eastAsia="Calibri"/>
                <w:sz w:val="26"/>
                <w:szCs w:val="26"/>
              </w:rPr>
            </w:pPr>
            <w:r>
              <w:t>132,0967</w:t>
            </w:r>
          </w:p>
        </w:tc>
      </w:tr>
    </w:tbl>
    <w:p w:rsidR="0062134A" w:rsidRDefault="0062134A" w:rsidP="0062134A">
      <w:pPr>
        <w:suppressAutoHyphens/>
        <w:ind w:firstLine="709"/>
        <w:jc w:val="both"/>
        <w:rPr>
          <w:b/>
          <w:sz w:val="28"/>
          <w:szCs w:val="28"/>
        </w:rPr>
      </w:pPr>
    </w:p>
    <w:p w:rsidR="0062134A" w:rsidRDefault="0062134A" w:rsidP="0062134A">
      <w:pPr>
        <w:suppressAutoHyphens/>
        <w:ind w:firstLine="709"/>
        <w:jc w:val="both"/>
        <w:rPr>
          <w:b/>
          <w:sz w:val="28"/>
          <w:szCs w:val="28"/>
        </w:rPr>
      </w:pPr>
      <w:r w:rsidRPr="0062134A">
        <w:rPr>
          <w:b/>
          <w:sz w:val="28"/>
          <w:szCs w:val="28"/>
        </w:rPr>
        <w:t xml:space="preserve">Таким чином, </w:t>
      </w:r>
      <w:r>
        <w:rPr>
          <w:b/>
          <w:sz w:val="28"/>
          <w:szCs w:val="28"/>
        </w:rPr>
        <w:t>в діях Товариства вбачаються ознаки подання до Комісії недостовірної інформації</w:t>
      </w:r>
      <w:r w:rsidRPr="0062134A">
        <w:rPr>
          <w:b/>
          <w:sz w:val="28"/>
          <w:szCs w:val="28"/>
        </w:rPr>
        <w:t xml:space="preserve"> у Довідці про розрахунок показника розміру власних коштів, Довідці про розрахунок нормативу достатності власних коштів та Довідці про розрахунок коефіцієнта покриття операційного ризику щодо значень розміру власних коштів, нормативу достатності власних коштів та коефіцієнта покриття операційного ризику.</w:t>
      </w:r>
    </w:p>
    <w:p w:rsidR="005C6A65" w:rsidRDefault="005C6A65" w:rsidP="0062134A">
      <w:pPr>
        <w:suppressAutoHyphens/>
        <w:ind w:firstLine="709"/>
        <w:jc w:val="both"/>
        <w:rPr>
          <w:sz w:val="28"/>
          <w:szCs w:val="28"/>
        </w:rPr>
      </w:pPr>
      <w:r w:rsidRPr="00A40441">
        <w:rPr>
          <w:noProof/>
          <w:sz w:val="28"/>
          <w:szCs w:val="28"/>
        </w:rPr>
        <w:t xml:space="preserve">Під час розгляду справи про правопорушення на </w:t>
      </w:r>
      <w:r w:rsidRPr="00A40441">
        <w:rPr>
          <w:noProof/>
          <w:sz w:val="28"/>
          <w:szCs w:val="28"/>
          <w:lang w:val="ru-RU"/>
        </w:rPr>
        <w:t xml:space="preserve"> ринках капіталу</w:t>
      </w:r>
      <w:r w:rsidRPr="00A40441">
        <w:rPr>
          <w:noProof/>
          <w:sz w:val="28"/>
          <w:szCs w:val="28"/>
        </w:rPr>
        <w:t xml:space="preserve"> </w:t>
      </w:r>
      <w:r w:rsidR="00E30185" w:rsidRPr="00A40441">
        <w:rPr>
          <w:noProof/>
          <w:sz w:val="28"/>
          <w:szCs w:val="28"/>
        </w:rPr>
        <w:t xml:space="preserve">та відповідно до поданих </w:t>
      </w:r>
      <w:r w:rsidRPr="00A40441">
        <w:rPr>
          <w:sz w:val="28"/>
          <w:szCs w:val="28"/>
        </w:rPr>
        <w:t xml:space="preserve">товариством </w:t>
      </w:r>
      <w:r w:rsidR="0062134A">
        <w:rPr>
          <w:sz w:val="28"/>
          <w:szCs w:val="28"/>
        </w:rPr>
        <w:t>пояснень від 07.05.2021 за вих. №5/7/2 (вх. №12750 від 12.05.2021)</w:t>
      </w:r>
      <w:r w:rsidR="00BC44F5">
        <w:rPr>
          <w:sz w:val="28"/>
          <w:szCs w:val="28"/>
        </w:rPr>
        <w:t xml:space="preserve">  </w:t>
      </w:r>
      <w:r w:rsidR="00E30185" w:rsidRPr="00A40441">
        <w:rPr>
          <w:sz w:val="28"/>
          <w:szCs w:val="28"/>
        </w:rPr>
        <w:t xml:space="preserve">уповноваженою особою Комісії, зокрема, </w:t>
      </w:r>
      <w:r w:rsidR="00150A5F">
        <w:rPr>
          <w:sz w:val="28"/>
          <w:szCs w:val="28"/>
        </w:rPr>
        <w:t>встановлено наступне.</w:t>
      </w:r>
    </w:p>
    <w:p w:rsidR="006B0620" w:rsidRDefault="00150A5F" w:rsidP="0062134A">
      <w:pPr>
        <w:suppressAutoHyphens/>
        <w:ind w:firstLine="709"/>
        <w:jc w:val="both"/>
        <w:rPr>
          <w:sz w:val="28"/>
          <w:szCs w:val="28"/>
        </w:rPr>
      </w:pPr>
      <w:r>
        <w:rPr>
          <w:sz w:val="28"/>
          <w:szCs w:val="28"/>
        </w:rPr>
        <w:t xml:space="preserve">Товариство класифікувало дебіторську заборгованість </w:t>
      </w:r>
      <w:r w:rsidRPr="00150A5F">
        <w:rPr>
          <w:sz w:val="28"/>
          <w:szCs w:val="28"/>
        </w:rPr>
        <w:t>ПАТ «ЗНВКІФ «АРІС»</w:t>
      </w:r>
      <w:r>
        <w:rPr>
          <w:sz w:val="28"/>
          <w:szCs w:val="28"/>
        </w:rPr>
        <w:t xml:space="preserve"> у розмірі 605 463, 17 </w:t>
      </w:r>
      <w:proofErr w:type="spellStart"/>
      <w:r>
        <w:rPr>
          <w:sz w:val="28"/>
          <w:szCs w:val="28"/>
        </w:rPr>
        <w:t>грн</w:t>
      </w:r>
      <w:proofErr w:type="spellEnd"/>
      <w:r>
        <w:rPr>
          <w:sz w:val="28"/>
          <w:szCs w:val="28"/>
        </w:rPr>
        <w:t xml:space="preserve"> як </w:t>
      </w:r>
      <w:r w:rsidRPr="006B0620">
        <w:rPr>
          <w:b/>
          <w:sz w:val="28"/>
          <w:szCs w:val="28"/>
        </w:rPr>
        <w:t>«поточну дебіторську заборгованість»</w:t>
      </w:r>
      <w:r>
        <w:rPr>
          <w:sz w:val="28"/>
          <w:szCs w:val="28"/>
        </w:rPr>
        <w:t xml:space="preserve"> відповідно до МСБО 1 «Подання фінансової звітності», оскільки згідно первинних документів (Зміни №1 від 26.06.2020 до Додаткової угоди від 18.11.2019 про розірвання Договору №07/12/20212-КІФ про управління активами </w:t>
      </w:r>
      <w:r w:rsidRPr="00150A5F">
        <w:rPr>
          <w:sz w:val="28"/>
          <w:szCs w:val="28"/>
        </w:rPr>
        <w:t>ПАТ «ЗНВКІФ «АРІС»</w:t>
      </w:r>
      <w:r>
        <w:rPr>
          <w:sz w:val="28"/>
          <w:szCs w:val="28"/>
        </w:rPr>
        <w:t xml:space="preserve"> від 07.12.2012) погашення цієї дебіторської заборгованості відбувається «протягом 30 днів з дати отримання Фондом вимоги Компанії з управління активами про сплату зобов’язання, але не пізніше 31 грудня 2021 року» (тобто, це є зобов’язання «до запитання» та, відповідно, до дати запитання зазначене зобов’язання може бути погашене протягом одного місяця).</w:t>
      </w:r>
    </w:p>
    <w:p w:rsidR="00150A5F" w:rsidRDefault="006B0620" w:rsidP="0062134A">
      <w:pPr>
        <w:suppressAutoHyphens/>
        <w:ind w:firstLine="709"/>
        <w:jc w:val="both"/>
        <w:rPr>
          <w:sz w:val="28"/>
          <w:szCs w:val="28"/>
        </w:rPr>
      </w:pPr>
      <w:r>
        <w:rPr>
          <w:sz w:val="28"/>
          <w:szCs w:val="28"/>
        </w:rPr>
        <w:t xml:space="preserve">Так як дебіторська заборгованість </w:t>
      </w:r>
      <w:r w:rsidR="00150A5F">
        <w:rPr>
          <w:sz w:val="28"/>
          <w:szCs w:val="28"/>
        </w:rPr>
        <w:t xml:space="preserve"> </w:t>
      </w:r>
      <w:r w:rsidRPr="00150A5F">
        <w:rPr>
          <w:sz w:val="28"/>
          <w:szCs w:val="28"/>
        </w:rPr>
        <w:t>ПАТ «ЗНВКІФ «АРІС»</w:t>
      </w:r>
      <w:r>
        <w:rPr>
          <w:sz w:val="28"/>
          <w:szCs w:val="28"/>
        </w:rPr>
        <w:t xml:space="preserve"> у розмірі 605 463, 17 </w:t>
      </w:r>
      <w:proofErr w:type="spellStart"/>
      <w:r>
        <w:rPr>
          <w:sz w:val="28"/>
          <w:szCs w:val="28"/>
        </w:rPr>
        <w:t>грн</w:t>
      </w:r>
      <w:proofErr w:type="spellEnd"/>
      <w:r>
        <w:rPr>
          <w:sz w:val="28"/>
          <w:szCs w:val="28"/>
        </w:rPr>
        <w:t xml:space="preserve"> є поточною дебіторською заборгованістю, у Товариства не було підстав зменшувати розмір капіталу І рівня на цю суму. При цьому, всі </w:t>
      </w:r>
      <w:proofErr w:type="spellStart"/>
      <w:r>
        <w:rPr>
          <w:sz w:val="28"/>
          <w:szCs w:val="28"/>
        </w:rPr>
        <w:t>пруденційні</w:t>
      </w:r>
      <w:proofErr w:type="spellEnd"/>
      <w:r>
        <w:rPr>
          <w:sz w:val="28"/>
          <w:szCs w:val="28"/>
        </w:rPr>
        <w:t xml:space="preserve"> показники Товариства відповідали нормативним значенням.</w:t>
      </w:r>
    </w:p>
    <w:p w:rsidR="006B0620" w:rsidRDefault="006B0620" w:rsidP="0062134A">
      <w:pPr>
        <w:suppressAutoHyphens/>
        <w:ind w:firstLine="709"/>
        <w:jc w:val="both"/>
        <w:rPr>
          <w:sz w:val="28"/>
          <w:szCs w:val="28"/>
        </w:rPr>
      </w:pPr>
      <w:r>
        <w:rPr>
          <w:sz w:val="28"/>
          <w:szCs w:val="28"/>
        </w:rPr>
        <w:t xml:space="preserve">Виходячи з показників фінансової звітності, складеної у повній відповідності з вимогами МСФЗ, Товариство вірно розрахувало та подало до Комісії достовірну інформацію  у </w:t>
      </w:r>
      <w:r w:rsidRPr="006B0620">
        <w:rPr>
          <w:sz w:val="28"/>
          <w:szCs w:val="28"/>
        </w:rPr>
        <w:t>Довідці про розрахунок показника розміру власних коштів, Довідці про розрахунок нормативу достатності власних коштів та Довідці про розрахунок коефіцієнта покриття операційного ризику щодо значень розміру власних коштів, нормативу достатності власних коштів та коефіцієнта покриття операційного ризику.</w:t>
      </w:r>
    </w:p>
    <w:p w:rsidR="006B0620" w:rsidRPr="006B0620" w:rsidRDefault="006B0620" w:rsidP="006B0620">
      <w:pPr>
        <w:ind w:firstLine="708"/>
        <w:jc w:val="both"/>
        <w:rPr>
          <w:sz w:val="28"/>
          <w:szCs w:val="28"/>
        </w:rPr>
      </w:pPr>
      <w:r>
        <w:rPr>
          <w:sz w:val="28"/>
          <w:szCs w:val="28"/>
        </w:rPr>
        <w:t>Відповідно до пункту</w:t>
      </w:r>
      <w:r w:rsidRPr="006B0620">
        <w:rPr>
          <w:sz w:val="28"/>
          <w:szCs w:val="28"/>
        </w:rPr>
        <w:t xml:space="preserve"> 2 розділу ІІІ Правил </w:t>
      </w:r>
      <w:r w:rsidRPr="008F1A3E">
        <w:rPr>
          <w:sz w:val="28"/>
          <w:szCs w:val="28"/>
        </w:rPr>
        <w:t>розгляду справ про порушення вимог законодавства на ринках капіталу та застосування санкцій або інших заходів впливу, затверджених рішенням Комісії від 28.07.2020 №405</w:t>
      </w:r>
      <w:r>
        <w:rPr>
          <w:sz w:val="28"/>
          <w:szCs w:val="28"/>
        </w:rPr>
        <w:t xml:space="preserve"> (далі – Правила №405)</w:t>
      </w:r>
      <w:r w:rsidRPr="008F1A3E">
        <w:rPr>
          <w:sz w:val="28"/>
          <w:szCs w:val="28"/>
        </w:rPr>
        <w:t>,</w:t>
      </w:r>
      <w:r>
        <w:rPr>
          <w:sz w:val="28"/>
          <w:szCs w:val="28"/>
        </w:rPr>
        <w:t xml:space="preserve"> </w:t>
      </w:r>
      <w:r w:rsidRPr="006B0620">
        <w:rPr>
          <w:sz w:val="28"/>
          <w:szCs w:val="28"/>
        </w:rPr>
        <w:t>порушена справа підлягає закриттю, зокрема,</w:t>
      </w:r>
      <w:r w:rsidRPr="006B0620">
        <w:rPr>
          <w:color w:val="333333"/>
          <w:shd w:val="clear" w:color="auto" w:fill="FFFFFF"/>
        </w:rPr>
        <w:t xml:space="preserve"> </w:t>
      </w:r>
      <w:r w:rsidRPr="006B0620">
        <w:rPr>
          <w:sz w:val="28"/>
          <w:szCs w:val="28"/>
        </w:rPr>
        <w:t>за відсутності факту вчинення правопорушення</w:t>
      </w:r>
      <w:r>
        <w:rPr>
          <w:sz w:val="28"/>
          <w:szCs w:val="28"/>
        </w:rPr>
        <w:t>.</w:t>
      </w:r>
      <w:r w:rsidRPr="006B0620">
        <w:rPr>
          <w:sz w:val="28"/>
          <w:szCs w:val="28"/>
        </w:rPr>
        <w:t xml:space="preserve"> </w:t>
      </w:r>
      <w:r>
        <w:rPr>
          <w:sz w:val="28"/>
          <w:szCs w:val="28"/>
        </w:rPr>
        <w:t xml:space="preserve"> </w:t>
      </w:r>
    </w:p>
    <w:p w:rsidR="00D11B6F" w:rsidRPr="00A40441" w:rsidRDefault="00AB22AA" w:rsidP="00AB22AA">
      <w:pPr>
        <w:ind w:firstLine="708"/>
        <w:jc w:val="both"/>
        <w:rPr>
          <w:sz w:val="28"/>
          <w:szCs w:val="28"/>
        </w:rPr>
      </w:pPr>
      <w:r>
        <w:rPr>
          <w:sz w:val="28"/>
          <w:szCs w:val="28"/>
        </w:rPr>
        <w:lastRenderedPageBreak/>
        <w:t xml:space="preserve"> </w:t>
      </w:r>
      <w:r w:rsidR="00D11B6F" w:rsidRPr="00A40441">
        <w:rPr>
          <w:sz w:val="28"/>
          <w:szCs w:val="28"/>
        </w:rPr>
        <w:t>Враховуючи вищевикладене, на підставі пункту 2 розділу ІІІ, підпункту 2</w:t>
      </w:r>
      <w:r>
        <w:rPr>
          <w:sz w:val="28"/>
          <w:szCs w:val="28"/>
        </w:rPr>
        <w:t xml:space="preserve"> пункту 3 розділу VІІ  Правил</w:t>
      </w:r>
      <w:r w:rsidRPr="008F1A3E">
        <w:rPr>
          <w:sz w:val="28"/>
          <w:szCs w:val="28"/>
        </w:rPr>
        <w:t xml:space="preserve"> №405</w:t>
      </w:r>
      <w:r w:rsidR="006B0620">
        <w:rPr>
          <w:sz w:val="28"/>
          <w:szCs w:val="28"/>
        </w:rPr>
        <w:t>,</w:t>
      </w:r>
      <w:r>
        <w:rPr>
          <w:sz w:val="28"/>
          <w:szCs w:val="28"/>
        </w:rPr>
        <w:t xml:space="preserve"> </w:t>
      </w:r>
    </w:p>
    <w:p w:rsidR="00A40441" w:rsidRPr="00A40441" w:rsidRDefault="00A40441" w:rsidP="005C6A65">
      <w:pPr>
        <w:ind w:firstLine="567"/>
        <w:jc w:val="both"/>
        <w:rPr>
          <w:sz w:val="28"/>
          <w:szCs w:val="28"/>
        </w:rPr>
      </w:pPr>
    </w:p>
    <w:p w:rsidR="00D11B6F" w:rsidRPr="00A40441" w:rsidRDefault="00D11B6F" w:rsidP="005C6A65">
      <w:pPr>
        <w:pStyle w:val="ae"/>
        <w:jc w:val="center"/>
        <w:rPr>
          <w:rFonts w:ascii="Times New Roman" w:hAnsi="Times New Roman"/>
          <w:b/>
          <w:sz w:val="28"/>
          <w:szCs w:val="28"/>
        </w:rPr>
      </w:pPr>
      <w:r w:rsidRPr="00A40441">
        <w:rPr>
          <w:rFonts w:ascii="Times New Roman" w:hAnsi="Times New Roman"/>
          <w:b/>
          <w:sz w:val="28"/>
          <w:szCs w:val="28"/>
        </w:rPr>
        <w:t>п о с т а н о в и в:</w:t>
      </w:r>
    </w:p>
    <w:p w:rsidR="00A40441" w:rsidRPr="00A40441" w:rsidRDefault="00A40441" w:rsidP="005C6A65">
      <w:pPr>
        <w:pStyle w:val="ae"/>
        <w:jc w:val="center"/>
        <w:rPr>
          <w:rFonts w:ascii="Times New Roman" w:hAnsi="Times New Roman"/>
          <w:b/>
          <w:sz w:val="28"/>
          <w:szCs w:val="28"/>
        </w:rPr>
      </w:pPr>
    </w:p>
    <w:p w:rsidR="00D11B6F" w:rsidRPr="00A40441" w:rsidRDefault="00D11B6F" w:rsidP="00AB22AA">
      <w:pPr>
        <w:ind w:firstLine="720"/>
        <w:jc w:val="both"/>
        <w:rPr>
          <w:sz w:val="28"/>
          <w:szCs w:val="28"/>
        </w:rPr>
      </w:pPr>
      <w:r w:rsidRPr="00A40441">
        <w:rPr>
          <w:sz w:val="28"/>
          <w:szCs w:val="28"/>
        </w:rPr>
        <w:t xml:space="preserve">1.  Справу про правопорушення на </w:t>
      </w:r>
      <w:proofErr w:type="spellStart"/>
      <w:r w:rsidRPr="00A40441">
        <w:rPr>
          <w:sz w:val="28"/>
          <w:szCs w:val="28"/>
        </w:rPr>
        <w:t>ринк</w:t>
      </w:r>
      <w:proofErr w:type="spellEnd"/>
      <w:r w:rsidRPr="00A40441">
        <w:rPr>
          <w:sz w:val="28"/>
          <w:szCs w:val="28"/>
          <w:lang w:val="ru-RU"/>
        </w:rPr>
        <w:t>ах</w:t>
      </w:r>
      <w:r w:rsidRPr="00A40441">
        <w:rPr>
          <w:sz w:val="28"/>
          <w:szCs w:val="28"/>
        </w:rPr>
        <w:t xml:space="preserve"> капіталу у </w:t>
      </w:r>
      <w:proofErr w:type="spellStart"/>
      <w:r w:rsidR="00E82E32" w:rsidRPr="00A40441">
        <w:rPr>
          <w:sz w:val="28"/>
          <w:szCs w:val="28"/>
          <w:lang w:val="ru-RU"/>
        </w:rPr>
        <w:t>відношенні</w:t>
      </w:r>
      <w:proofErr w:type="spellEnd"/>
      <w:r w:rsidR="00E82E32" w:rsidRPr="00A40441">
        <w:rPr>
          <w:sz w:val="28"/>
          <w:szCs w:val="28"/>
          <w:lang w:val="ru-RU"/>
        </w:rPr>
        <w:t xml:space="preserve"> </w:t>
      </w:r>
      <w:r w:rsidR="00BF7CA7">
        <w:rPr>
          <w:sz w:val="28"/>
          <w:szCs w:val="28"/>
        </w:rPr>
        <w:t xml:space="preserve"> </w:t>
      </w:r>
      <w:r w:rsidR="006B0620">
        <w:rPr>
          <w:sz w:val="28"/>
          <w:szCs w:val="28"/>
        </w:rPr>
        <w:t xml:space="preserve"> </w:t>
      </w:r>
      <w:r w:rsidR="006B0620" w:rsidRPr="0062134A">
        <w:rPr>
          <w:sz w:val="28"/>
          <w:szCs w:val="28"/>
        </w:rPr>
        <w:t>ТОВ «</w:t>
      </w:r>
      <w:proofErr w:type="spellStart"/>
      <w:r w:rsidR="006B0620" w:rsidRPr="0062134A">
        <w:rPr>
          <w:sz w:val="28"/>
          <w:szCs w:val="28"/>
        </w:rPr>
        <w:t>КУА</w:t>
      </w:r>
      <w:proofErr w:type="spellEnd"/>
      <w:r w:rsidR="006B0620" w:rsidRPr="0062134A">
        <w:rPr>
          <w:sz w:val="28"/>
          <w:szCs w:val="28"/>
        </w:rPr>
        <w:t xml:space="preserve"> «СВОП»</w:t>
      </w:r>
      <w:r w:rsidR="006B0620">
        <w:rPr>
          <w:sz w:val="28"/>
          <w:szCs w:val="28"/>
        </w:rPr>
        <w:t xml:space="preserve"> </w:t>
      </w:r>
      <w:r w:rsidRPr="00A40441">
        <w:rPr>
          <w:sz w:val="28"/>
          <w:szCs w:val="28"/>
        </w:rPr>
        <w:t>закрити.</w:t>
      </w:r>
    </w:p>
    <w:p w:rsidR="00AB22AA" w:rsidRDefault="00D11B6F" w:rsidP="00AB22AA">
      <w:pPr>
        <w:ind w:firstLine="720"/>
        <w:jc w:val="both"/>
        <w:rPr>
          <w:sz w:val="28"/>
          <w:szCs w:val="28"/>
        </w:rPr>
      </w:pPr>
      <w:r w:rsidRPr="00A40441">
        <w:rPr>
          <w:sz w:val="28"/>
          <w:szCs w:val="28"/>
        </w:rPr>
        <w:t>2.</w:t>
      </w:r>
      <w:r w:rsidR="005C6A65" w:rsidRPr="00A40441">
        <w:rPr>
          <w:sz w:val="28"/>
          <w:szCs w:val="28"/>
        </w:rPr>
        <w:t xml:space="preserve"> Дану постанову направити </w:t>
      </w:r>
      <w:r w:rsidR="006B0620" w:rsidRPr="0062134A">
        <w:rPr>
          <w:sz w:val="28"/>
          <w:szCs w:val="28"/>
        </w:rPr>
        <w:t>ТОВ «</w:t>
      </w:r>
      <w:proofErr w:type="spellStart"/>
      <w:r w:rsidR="006B0620" w:rsidRPr="0062134A">
        <w:rPr>
          <w:sz w:val="28"/>
          <w:szCs w:val="28"/>
        </w:rPr>
        <w:t>КУА</w:t>
      </w:r>
      <w:proofErr w:type="spellEnd"/>
      <w:r w:rsidR="006B0620" w:rsidRPr="0062134A">
        <w:rPr>
          <w:sz w:val="28"/>
          <w:szCs w:val="28"/>
        </w:rPr>
        <w:t xml:space="preserve"> «СВОП»</w:t>
      </w:r>
      <w:r w:rsidR="006B0620">
        <w:rPr>
          <w:sz w:val="28"/>
          <w:szCs w:val="28"/>
        </w:rPr>
        <w:t xml:space="preserve">. </w:t>
      </w:r>
    </w:p>
    <w:p w:rsidR="00D11B6F" w:rsidRDefault="00D11B6F" w:rsidP="00D11B6F">
      <w:pPr>
        <w:tabs>
          <w:tab w:val="left" w:pos="360"/>
          <w:tab w:val="left" w:pos="720"/>
        </w:tabs>
        <w:ind w:firstLine="720"/>
        <w:jc w:val="both"/>
        <w:rPr>
          <w:sz w:val="28"/>
          <w:szCs w:val="28"/>
        </w:rPr>
      </w:pPr>
    </w:p>
    <w:p w:rsidR="00BF7CA7" w:rsidRPr="009F43D3" w:rsidRDefault="00BF7CA7" w:rsidP="00D11B6F">
      <w:pPr>
        <w:tabs>
          <w:tab w:val="left" w:pos="360"/>
          <w:tab w:val="left" w:pos="720"/>
        </w:tabs>
        <w:ind w:firstLine="720"/>
        <w:jc w:val="both"/>
        <w:rPr>
          <w:sz w:val="28"/>
          <w:szCs w:val="28"/>
        </w:rPr>
      </w:pPr>
    </w:p>
    <w:p w:rsidR="00D11B6F" w:rsidRDefault="00D11B6F" w:rsidP="00D11B6F">
      <w:pPr>
        <w:tabs>
          <w:tab w:val="left" w:pos="360"/>
          <w:tab w:val="left" w:pos="720"/>
        </w:tabs>
        <w:ind w:firstLine="709"/>
        <w:jc w:val="both"/>
        <w:rPr>
          <w:lang w:val="ru-RU"/>
        </w:rPr>
      </w:pPr>
      <w:r w:rsidRPr="00B941AA">
        <w:t>Постанову може бути оскаржено протягом п’ятнадцяти робочих днів до Національної комісії з цінних паперів та фондового ринку або до суду у встановленому чинним законодавством порядку.</w:t>
      </w:r>
    </w:p>
    <w:p w:rsidR="00E82E32" w:rsidRDefault="00E82E32" w:rsidP="00D11B6F">
      <w:pPr>
        <w:tabs>
          <w:tab w:val="left" w:pos="360"/>
          <w:tab w:val="left" w:pos="720"/>
        </w:tabs>
        <w:ind w:firstLine="709"/>
        <w:jc w:val="both"/>
        <w:rPr>
          <w:lang w:val="ru-RU"/>
        </w:rPr>
      </w:pPr>
    </w:p>
    <w:p w:rsidR="00AB22AA" w:rsidRDefault="00AB22AA" w:rsidP="00D11B6F">
      <w:pPr>
        <w:tabs>
          <w:tab w:val="left" w:pos="360"/>
          <w:tab w:val="left" w:pos="720"/>
        </w:tabs>
        <w:ind w:firstLine="709"/>
        <w:jc w:val="both"/>
        <w:rPr>
          <w:lang w:val="ru-RU"/>
        </w:rPr>
      </w:pPr>
    </w:p>
    <w:p w:rsidR="00241B9E" w:rsidRPr="00E30185" w:rsidRDefault="00241B9E" w:rsidP="00D11B6F">
      <w:pPr>
        <w:tabs>
          <w:tab w:val="left" w:pos="360"/>
          <w:tab w:val="left" w:pos="720"/>
        </w:tabs>
        <w:ind w:firstLine="709"/>
        <w:jc w:val="both"/>
        <w:rPr>
          <w:lang w:val="ru-RU"/>
        </w:rPr>
      </w:pPr>
    </w:p>
    <w:p w:rsidR="00D11B6F" w:rsidRPr="00A40441" w:rsidRDefault="00241B9E" w:rsidP="00D11B6F">
      <w:pPr>
        <w:tabs>
          <w:tab w:val="left" w:pos="360"/>
          <w:tab w:val="left" w:pos="720"/>
        </w:tabs>
        <w:jc w:val="both"/>
        <w:rPr>
          <w:b/>
          <w:sz w:val="28"/>
          <w:szCs w:val="28"/>
          <w:lang w:val="ru-RU"/>
        </w:rPr>
      </w:pPr>
      <w:r>
        <w:rPr>
          <w:b/>
          <w:sz w:val="27"/>
          <w:szCs w:val="27"/>
        </w:rPr>
        <w:t xml:space="preserve">  </w:t>
      </w:r>
      <w:r w:rsidR="00D11B6F" w:rsidRPr="00A40441">
        <w:rPr>
          <w:b/>
          <w:sz w:val="28"/>
          <w:szCs w:val="28"/>
        </w:rPr>
        <w:t xml:space="preserve">Уповноважена особа Комісії     </w:t>
      </w:r>
      <w:r w:rsidR="00A40441">
        <w:rPr>
          <w:b/>
          <w:sz w:val="28"/>
          <w:szCs w:val="28"/>
        </w:rPr>
        <w:t xml:space="preserve">                 </w:t>
      </w:r>
      <w:r w:rsidR="00A40441">
        <w:rPr>
          <w:b/>
          <w:sz w:val="28"/>
          <w:szCs w:val="28"/>
        </w:rPr>
        <w:tab/>
      </w:r>
      <w:r w:rsidR="00A40441">
        <w:rPr>
          <w:b/>
          <w:sz w:val="28"/>
          <w:szCs w:val="28"/>
        </w:rPr>
        <w:tab/>
        <w:t xml:space="preserve">         </w:t>
      </w:r>
      <w:r w:rsidR="00D11B6F" w:rsidRPr="00A40441">
        <w:rPr>
          <w:b/>
          <w:sz w:val="28"/>
          <w:szCs w:val="28"/>
          <w:lang w:val="ru-RU"/>
        </w:rPr>
        <w:t xml:space="preserve">  </w:t>
      </w:r>
      <w:r w:rsidR="00E82E32" w:rsidRPr="00A40441">
        <w:rPr>
          <w:b/>
          <w:sz w:val="28"/>
          <w:szCs w:val="28"/>
          <w:lang w:val="ru-RU"/>
        </w:rPr>
        <w:t xml:space="preserve"> </w:t>
      </w:r>
      <w:r w:rsidR="007C27DA" w:rsidRPr="00A40441">
        <w:rPr>
          <w:b/>
          <w:sz w:val="28"/>
          <w:szCs w:val="28"/>
          <w:lang w:val="ru-RU"/>
        </w:rPr>
        <w:t xml:space="preserve"> </w:t>
      </w:r>
      <w:r w:rsidR="00186C89" w:rsidRPr="00A40441">
        <w:rPr>
          <w:b/>
          <w:sz w:val="28"/>
          <w:szCs w:val="28"/>
          <w:lang w:val="ru-RU"/>
        </w:rPr>
        <w:t xml:space="preserve"> </w:t>
      </w:r>
      <w:r w:rsidR="00A40441" w:rsidRPr="00A40441">
        <w:rPr>
          <w:b/>
          <w:sz w:val="28"/>
          <w:szCs w:val="28"/>
          <w:lang w:val="ru-RU"/>
        </w:rPr>
        <w:t xml:space="preserve"> </w:t>
      </w:r>
      <w:r w:rsidR="00BF7CA7">
        <w:rPr>
          <w:b/>
          <w:sz w:val="28"/>
          <w:szCs w:val="28"/>
          <w:lang w:val="ru-RU"/>
        </w:rPr>
        <w:t xml:space="preserve"> </w:t>
      </w:r>
      <w:r w:rsidR="00AB22AA">
        <w:rPr>
          <w:b/>
          <w:sz w:val="28"/>
          <w:szCs w:val="28"/>
          <w:lang w:val="ru-RU"/>
        </w:rPr>
        <w:t xml:space="preserve"> </w:t>
      </w:r>
      <w:r w:rsidR="005E308F">
        <w:rPr>
          <w:b/>
          <w:sz w:val="28"/>
          <w:szCs w:val="28"/>
          <w:lang w:val="ru-RU"/>
        </w:rPr>
        <w:t xml:space="preserve"> Ю. Ю. Бойко</w:t>
      </w:r>
    </w:p>
    <w:sectPr w:rsidR="00D11B6F" w:rsidRPr="00A40441" w:rsidSect="009F43D3">
      <w:footerReference w:type="default" r:id="rId8"/>
      <w:pgSz w:w="11906" w:h="16838"/>
      <w:pgMar w:top="539" w:right="851" w:bottom="24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702" w:rsidRDefault="00313702" w:rsidP="007C1B8F">
      <w:r>
        <w:separator/>
      </w:r>
    </w:p>
  </w:endnote>
  <w:endnote w:type="continuationSeparator" w:id="0">
    <w:p w:rsidR="00313702" w:rsidRDefault="00313702" w:rsidP="007C1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8F" w:rsidRDefault="00F1616A">
    <w:pPr>
      <w:pStyle w:val="a7"/>
      <w:jc w:val="right"/>
    </w:pPr>
    <w:fldSimple w:instr=" PAGE   \* MERGEFORMAT ">
      <w:r w:rsidR="00E97C61">
        <w:rPr>
          <w:noProof/>
        </w:rPr>
        <w:t>7</w:t>
      </w:r>
    </w:fldSimple>
  </w:p>
  <w:p w:rsidR="007C1B8F" w:rsidRDefault="007C1B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702" w:rsidRDefault="00313702" w:rsidP="007C1B8F">
      <w:r>
        <w:separator/>
      </w:r>
    </w:p>
  </w:footnote>
  <w:footnote w:type="continuationSeparator" w:id="0">
    <w:p w:rsidR="00313702" w:rsidRDefault="00313702" w:rsidP="007C1B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4760"/>
    <w:multiLevelType w:val="hybridMultilevel"/>
    <w:tmpl w:val="B9DA6F3C"/>
    <w:lvl w:ilvl="0" w:tplc="68749ED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8156F19"/>
    <w:multiLevelType w:val="hybridMultilevel"/>
    <w:tmpl w:val="5F466E7A"/>
    <w:lvl w:ilvl="0" w:tplc="60A6510A">
      <w:start w:val="1"/>
      <w:numFmt w:val="decimal"/>
      <w:lvlText w:val="%1."/>
      <w:lvlJc w:val="left"/>
      <w:pPr>
        <w:tabs>
          <w:tab w:val="num" w:pos="1005"/>
        </w:tabs>
        <w:ind w:left="1005" w:hanging="64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B494D"/>
    <w:rsid w:val="00001297"/>
    <w:rsid w:val="00003AAB"/>
    <w:rsid w:val="0000760C"/>
    <w:rsid w:val="00010F01"/>
    <w:rsid w:val="00015BEC"/>
    <w:rsid w:val="000514F7"/>
    <w:rsid w:val="00061D0F"/>
    <w:rsid w:val="000622B0"/>
    <w:rsid w:val="00063BD6"/>
    <w:rsid w:val="00067F82"/>
    <w:rsid w:val="000701AE"/>
    <w:rsid w:val="00075AC2"/>
    <w:rsid w:val="00087FEB"/>
    <w:rsid w:val="000916B3"/>
    <w:rsid w:val="000A07DE"/>
    <w:rsid w:val="000A2354"/>
    <w:rsid w:val="000A7693"/>
    <w:rsid w:val="000B3658"/>
    <w:rsid w:val="000C166E"/>
    <w:rsid w:val="000D156E"/>
    <w:rsid w:val="000D2334"/>
    <w:rsid w:val="000D5B8E"/>
    <w:rsid w:val="000E24C9"/>
    <w:rsid w:val="000F0004"/>
    <w:rsid w:val="000F5501"/>
    <w:rsid w:val="0010282F"/>
    <w:rsid w:val="00104107"/>
    <w:rsid w:val="00111C98"/>
    <w:rsid w:val="00113A92"/>
    <w:rsid w:val="00115192"/>
    <w:rsid w:val="00127FA5"/>
    <w:rsid w:val="00142922"/>
    <w:rsid w:val="00143A11"/>
    <w:rsid w:val="00147B57"/>
    <w:rsid w:val="00150A5F"/>
    <w:rsid w:val="00153A88"/>
    <w:rsid w:val="00166485"/>
    <w:rsid w:val="00172DB2"/>
    <w:rsid w:val="00177BD4"/>
    <w:rsid w:val="0018595F"/>
    <w:rsid w:val="00186C89"/>
    <w:rsid w:val="00190639"/>
    <w:rsid w:val="0019584C"/>
    <w:rsid w:val="001A4710"/>
    <w:rsid w:val="001B0389"/>
    <w:rsid w:val="001B29EC"/>
    <w:rsid w:val="001B4CFC"/>
    <w:rsid w:val="001C166A"/>
    <w:rsid w:val="001C262C"/>
    <w:rsid w:val="001E0424"/>
    <w:rsid w:val="001F4884"/>
    <w:rsid w:val="00213689"/>
    <w:rsid w:val="00213718"/>
    <w:rsid w:val="0022055A"/>
    <w:rsid w:val="00223151"/>
    <w:rsid w:val="00231154"/>
    <w:rsid w:val="0023346F"/>
    <w:rsid w:val="0023477B"/>
    <w:rsid w:val="00241B9E"/>
    <w:rsid w:val="0025372F"/>
    <w:rsid w:val="0025484D"/>
    <w:rsid w:val="00263CFF"/>
    <w:rsid w:val="002772C4"/>
    <w:rsid w:val="00277C34"/>
    <w:rsid w:val="00281119"/>
    <w:rsid w:val="002816F8"/>
    <w:rsid w:val="00291D08"/>
    <w:rsid w:val="00294CA2"/>
    <w:rsid w:val="00294D9D"/>
    <w:rsid w:val="002950C4"/>
    <w:rsid w:val="00296176"/>
    <w:rsid w:val="002A3430"/>
    <w:rsid w:val="002A35F0"/>
    <w:rsid w:val="002B59AE"/>
    <w:rsid w:val="002C0861"/>
    <w:rsid w:val="002D56B2"/>
    <w:rsid w:val="002E0100"/>
    <w:rsid w:val="002E3D61"/>
    <w:rsid w:val="00300F2C"/>
    <w:rsid w:val="00304C2F"/>
    <w:rsid w:val="00310323"/>
    <w:rsid w:val="00313702"/>
    <w:rsid w:val="00332D16"/>
    <w:rsid w:val="003422F0"/>
    <w:rsid w:val="003545A2"/>
    <w:rsid w:val="003669C7"/>
    <w:rsid w:val="00384F8D"/>
    <w:rsid w:val="0038607D"/>
    <w:rsid w:val="00390ED2"/>
    <w:rsid w:val="003A62C4"/>
    <w:rsid w:val="003A67F6"/>
    <w:rsid w:val="003A6D5C"/>
    <w:rsid w:val="003C1298"/>
    <w:rsid w:val="003C3136"/>
    <w:rsid w:val="003D0158"/>
    <w:rsid w:val="003D3584"/>
    <w:rsid w:val="003E0113"/>
    <w:rsid w:val="003E102A"/>
    <w:rsid w:val="003E261E"/>
    <w:rsid w:val="003E519B"/>
    <w:rsid w:val="003F0F7A"/>
    <w:rsid w:val="003F1652"/>
    <w:rsid w:val="003F372B"/>
    <w:rsid w:val="003F7FCD"/>
    <w:rsid w:val="00404557"/>
    <w:rsid w:val="00404748"/>
    <w:rsid w:val="00430EB8"/>
    <w:rsid w:val="00431F21"/>
    <w:rsid w:val="00444B02"/>
    <w:rsid w:val="0045251D"/>
    <w:rsid w:val="00460FD0"/>
    <w:rsid w:val="0046634B"/>
    <w:rsid w:val="00477EE4"/>
    <w:rsid w:val="004936FC"/>
    <w:rsid w:val="004B494D"/>
    <w:rsid w:val="004B6369"/>
    <w:rsid w:val="004C4E8F"/>
    <w:rsid w:val="004D69CA"/>
    <w:rsid w:val="004D77A8"/>
    <w:rsid w:val="004E1083"/>
    <w:rsid w:val="004E6246"/>
    <w:rsid w:val="004F40E2"/>
    <w:rsid w:val="00503BBB"/>
    <w:rsid w:val="005149E4"/>
    <w:rsid w:val="00516695"/>
    <w:rsid w:val="0051795F"/>
    <w:rsid w:val="005226C0"/>
    <w:rsid w:val="00531BC8"/>
    <w:rsid w:val="00537248"/>
    <w:rsid w:val="00540336"/>
    <w:rsid w:val="00550E80"/>
    <w:rsid w:val="00551C7A"/>
    <w:rsid w:val="00553DF1"/>
    <w:rsid w:val="00554184"/>
    <w:rsid w:val="005562D1"/>
    <w:rsid w:val="005736B8"/>
    <w:rsid w:val="00584E5A"/>
    <w:rsid w:val="005923A0"/>
    <w:rsid w:val="005928B9"/>
    <w:rsid w:val="0059364D"/>
    <w:rsid w:val="00593E5C"/>
    <w:rsid w:val="005A5E37"/>
    <w:rsid w:val="005A7028"/>
    <w:rsid w:val="005B04B4"/>
    <w:rsid w:val="005C6A65"/>
    <w:rsid w:val="005D16DF"/>
    <w:rsid w:val="005E1B1F"/>
    <w:rsid w:val="005E2FAF"/>
    <w:rsid w:val="005E308F"/>
    <w:rsid w:val="005E5DCA"/>
    <w:rsid w:val="005F5A11"/>
    <w:rsid w:val="00601810"/>
    <w:rsid w:val="006100E8"/>
    <w:rsid w:val="00610D79"/>
    <w:rsid w:val="0062134A"/>
    <w:rsid w:val="006260AA"/>
    <w:rsid w:val="00632072"/>
    <w:rsid w:val="0063685E"/>
    <w:rsid w:val="0064728E"/>
    <w:rsid w:val="006805C3"/>
    <w:rsid w:val="006917F9"/>
    <w:rsid w:val="006A1334"/>
    <w:rsid w:val="006A3301"/>
    <w:rsid w:val="006A70A8"/>
    <w:rsid w:val="006B0620"/>
    <w:rsid w:val="006B1112"/>
    <w:rsid w:val="006B53C9"/>
    <w:rsid w:val="006C3DE6"/>
    <w:rsid w:val="006D2D5C"/>
    <w:rsid w:val="006D69AE"/>
    <w:rsid w:val="00705D9C"/>
    <w:rsid w:val="007126E7"/>
    <w:rsid w:val="0072009C"/>
    <w:rsid w:val="007208C7"/>
    <w:rsid w:val="00721CBE"/>
    <w:rsid w:val="00730EF0"/>
    <w:rsid w:val="00751EF3"/>
    <w:rsid w:val="0075561D"/>
    <w:rsid w:val="00760A4E"/>
    <w:rsid w:val="007619A7"/>
    <w:rsid w:val="0077682C"/>
    <w:rsid w:val="00793D48"/>
    <w:rsid w:val="007A09D9"/>
    <w:rsid w:val="007A28E9"/>
    <w:rsid w:val="007A32CA"/>
    <w:rsid w:val="007A6D0A"/>
    <w:rsid w:val="007B7B50"/>
    <w:rsid w:val="007C13A2"/>
    <w:rsid w:val="007C1B8F"/>
    <w:rsid w:val="007C27DA"/>
    <w:rsid w:val="007D32A3"/>
    <w:rsid w:val="007D474F"/>
    <w:rsid w:val="007D7357"/>
    <w:rsid w:val="007E1D46"/>
    <w:rsid w:val="007F0DCD"/>
    <w:rsid w:val="007F5CC3"/>
    <w:rsid w:val="00810A37"/>
    <w:rsid w:val="008123BE"/>
    <w:rsid w:val="00815CD7"/>
    <w:rsid w:val="00823759"/>
    <w:rsid w:val="008249AE"/>
    <w:rsid w:val="008465F8"/>
    <w:rsid w:val="00852753"/>
    <w:rsid w:val="0085331D"/>
    <w:rsid w:val="00860FA3"/>
    <w:rsid w:val="008652AB"/>
    <w:rsid w:val="008742C9"/>
    <w:rsid w:val="00890107"/>
    <w:rsid w:val="00891971"/>
    <w:rsid w:val="008A1D79"/>
    <w:rsid w:val="008B5AB6"/>
    <w:rsid w:val="008D4910"/>
    <w:rsid w:val="008E1B5D"/>
    <w:rsid w:val="008F1545"/>
    <w:rsid w:val="008F3607"/>
    <w:rsid w:val="00920CE6"/>
    <w:rsid w:val="00923C67"/>
    <w:rsid w:val="00924961"/>
    <w:rsid w:val="00945DB5"/>
    <w:rsid w:val="00947BAE"/>
    <w:rsid w:val="0095473F"/>
    <w:rsid w:val="00955771"/>
    <w:rsid w:val="00963C50"/>
    <w:rsid w:val="00974B04"/>
    <w:rsid w:val="0097694F"/>
    <w:rsid w:val="009770C6"/>
    <w:rsid w:val="00981281"/>
    <w:rsid w:val="00982267"/>
    <w:rsid w:val="00986D96"/>
    <w:rsid w:val="009907AA"/>
    <w:rsid w:val="009933C7"/>
    <w:rsid w:val="009958F7"/>
    <w:rsid w:val="009A3202"/>
    <w:rsid w:val="009B50A5"/>
    <w:rsid w:val="009B781F"/>
    <w:rsid w:val="009C3CA1"/>
    <w:rsid w:val="009C7F8F"/>
    <w:rsid w:val="009D0B24"/>
    <w:rsid w:val="009D3E37"/>
    <w:rsid w:val="009F43D3"/>
    <w:rsid w:val="009F4D4D"/>
    <w:rsid w:val="009F57D1"/>
    <w:rsid w:val="00A034D4"/>
    <w:rsid w:val="00A05124"/>
    <w:rsid w:val="00A06A1B"/>
    <w:rsid w:val="00A25701"/>
    <w:rsid w:val="00A360D4"/>
    <w:rsid w:val="00A37B6C"/>
    <w:rsid w:val="00A40441"/>
    <w:rsid w:val="00A44F4B"/>
    <w:rsid w:val="00A540B7"/>
    <w:rsid w:val="00A5478F"/>
    <w:rsid w:val="00A54DA5"/>
    <w:rsid w:val="00A83869"/>
    <w:rsid w:val="00A83BDF"/>
    <w:rsid w:val="00A93E38"/>
    <w:rsid w:val="00AA1CB6"/>
    <w:rsid w:val="00AA28B9"/>
    <w:rsid w:val="00AA7505"/>
    <w:rsid w:val="00AB1820"/>
    <w:rsid w:val="00AB22AA"/>
    <w:rsid w:val="00AC4D73"/>
    <w:rsid w:val="00AD2C7C"/>
    <w:rsid w:val="00AD3399"/>
    <w:rsid w:val="00AE3CAE"/>
    <w:rsid w:val="00AE73D9"/>
    <w:rsid w:val="00AF1E34"/>
    <w:rsid w:val="00B04189"/>
    <w:rsid w:val="00B074C6"/>
    <w:rsid w:val="00B07744"/>
    <w:rsid w:val="00B20D34"/>
    <w:rsid w:val="00B21ED1"/>
    <w:rsid w:val="00B25BE0"/>
    <w:rsid w:val="00B46708"/>
    <w:rsid w:val="00B47248"/>
    <w:rsid w:val="00B5631C"/>
    <w:rsid w:val="00B577A3"/>
    <w:rsid w:val="00B941AA"/>
    <w:rsid w:val="00B952C7"/>
    <w:rsid w:val="00B976F6"/>
    <w:rsid w:val="00BA5042"/>
    <w:rsid w:val="00BA5395"/>
    <w:rsid w:val="00BA71D2"/>
    <w:rsid w:val="00BB7D5C"/>
    <w:rsid w:val="00BC44F5"/>
    <w:rsid w:val="00BE4B29"/>
    <w:rsid w:val="00BF1187"/>
    <w:rsid w:val="00BF27AF"/>
    <w:rsid w:val="00BF5309"/>
    <w:rsid w:val="00BF6BF9"/>
    <w:rsid w:val="00BF75FA"/>
    <w:rsid w:val="00BF7CA7"/>
    <w:rsid w:val="00C12838"/>
    <w:rsid w:val="00C1422B"/>
    <w:rsid w:val="00C229CA"/>
    <w:rsid w:val="00C26E0C"/>
    <w:rsid w:val="00C4302E"/>
    <w:rsid w:val="00C519CD"/>
    <w:rsid w:val="00C51D19"/>
    <w:rsid w:val="00C53B9C"/>
    <w:rsid w:val="00C55CBA"/>
    <w:rsid w:val="00C73D90"/>
    <w:rsid w:val="00C81258"/>
    <w:rsid w:val="00C8191E"/>
    <w:rsid w:val="00C828AC"/>
    <w:rsid w:val="00C8472B"/>
    <w:rsid w:val="00C8797C"/>
    <w:rsid w:val="00C94C55"/>
    <w:rsid w:val="00C94E9D"/>
    <w:rsid w:val="00CA1A00"/>
    <w:rsid w:val="00CB07A2"/>
    <w:rsid w:val="00CB6403"/>
    <w:rsid w:val="00CD0501"/>
    <w:rsid w:val="00CD1ABC"/>
    <w:rsid w:val="00CE13D2"/>
    <w:rsid w:val="00CE76C6"/>
    <w:rsid w:val="00D02068"/>
    <w:rsid w:val="00D02624"/>
    <w:rsid w:val="00D041F8"/>
    <w:rsid w:val="00D05A99"/>
    <w:rsid w:val="00D11B6F"/>
    <w:rsid w:val="00D12841"/>
    <w:rsid w:val="00D20213"/>
    <w:rsid w:val="00D3180C"/>
    <w:rsid w:val="00D4074A"/>
    <w:rsid w:val="00D40F59"/>
    <w:rsid w:val="00D50D3C"/>
    <w:rsid w:val="00D72A58"/>
    <w:rsid w:val="00D75242"/>
    <w:rsid w:val="00D75C73"/>
    <w:rsid w:val="00D848F0"/>
    <w:rsid w:val="00DA446C"/>
    <w:rsid w:val="00DB04D2"/>
    <w:rsid w:val="00DC5CCE"/>
    <w:rsid w:val="00DD0D1A"/>
    <w:rsid w:val="00DD79B2"/>
    <w:rsid w:val="00DE46E9"/>
    <w:rsid w:val="00DE5BF0"/>
    <w:rsid w:val="00DE6DA6"/>
    <w:rsid w:val="00E027C6"/>
    <w:rsid w:val="00E02FCD"/>
    <w:rsid w:val="00E07767"/>
    <w:rsid w:val="00E12627"/>
    <w:rsid w:val="00E1734C"/>
    <w:rsid w:val="00E25E06"/>
    <w:rsid w:val="00E30185"/>
    <w:rsid w:val="00E509BE"/>
    <w:rsid w:val="00E54A8A"/>
    <w:rsid w:val="00E5513A"/>
    <w:rsid w:val="00E604E9"/>
    <w:rsid w:val="00E66451"/>
    <w:rsid w:val="00E67E8E"/>
    <w:rsid w:val="00E829DF"/>
    <w:rsid w:val="00E82E32"/>
    <w:rsid w:val="00E83B54"/>
    <w:rsid w:val="00E86E3A"/>
    <w:rsid w:val="00E90378"/>
    <w:rsid w:val="00E96137"/>
    <w:rsid w:val="00E97C61"/>
    <w:rsid w:val="00EA5967"/>
    <w:rsid w:val="00EA79EE"/>
    <w:rsid w:val="00EC3997"/>
    <w:rsid w:val="00EC6B60"/>
    <w:rsid w:val="00ED341B"/>
    <w:rsid w:val="00ED3CF5"/>
    <w:rsid w:val="00ED5EE6"/>
    <w:rsid w:val="00EF72E0"/>
    <w:rsid w:val="00F14E5D"/>
    <w:rsid w:val="00F1616A"/>
    <w:rsid w:val="00F1735A"/>
    <w:rsid w:val="00F17D33"/>
    <w:rsid w:val="00F321D0"/>
    <w:rsid w:val="00F53848"/>
    <w:rsid w:val="00F54662"/>
    <w:rsid w:val="00F559AC"/>
    <w:rsid w:val="00F61D6D"/>
    <w:rsid w:val="00F70188"/>
    <w:rsid w:val="00F719F8"/>
    <w:rsid w:val="00F75AF9"/>
    <w:rsid w:val="00FA4BD1"/>
    <w:rsid w:val="00FB1FBA"/>
    <w:rsid w:val="00FC1CF4"/>
    <w:rsid w:val="00FE0D81"/>
    <w:rsid w:val="00FE6C75"/>
    <w:rsid w:val="00FF4FE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94D"/>
    <w:rPr>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B494D"/>
    <w:pPr>
      <w:ind w:firstLine="851"/>
      <w:jc w:val="both"/>
    </w:pPr>
    <w:rPr>
      <w:sz w:val="28"/>
      <w:szCs w:val="20"/>
      <w:lang w:val="ru-RU"/>
    </w:rPr>
  </w:style>
  <w:style w:type="paragraph" w:customStyle="1" w:styleId="1">
    <w:name w:val="Обычный1"/>
    <w:rsid w:val="004B494D"/>
    <w:pPr>
      <w:widowControl w:val="0"/>
    </w:pPr>
    <w:rPr>
      <w:snapToGrid w:val="0"/>
    </w:rPr>
  </w:style>
  <w:style w:type="character" w:customStyle="1" w:styleId="a4">
    <w:name w:val="Основной текст с отступом Знак"/>
    <w:basedOn w:val="a0"/>
    <w:link w:val="a3"/>
    <w:locked/>
    <w:rsid w:val="004B494D"/>
    <w:rPr>
      <w:sz w:val="28"/>
      <w:lang w:val="ru-RU" w:eastAsia="uk-UA" w:bidi="ar-SA"/>
    </w:rPr>
  </w:style>
  <w:style w:type="paragraph" w:customStyle="1" w:styleId="21">
    <w:name w:val="Основной текст 21"/>
    <w:basedOn w:val="1"/>
    <w:rsid w:val="004B494D"/>
    <w:pPr>
      <w:widowControl/>
      <w:ind w:firstLine="851"/>
      <w:jc w:val="both"/>
    </w:pPr>
    <w:rPr>
      <w:snapToGrid/>
      <w:sz w:val="28"/>
      <w:lang w:val="ru-RU" w:eastAsia="ru-RU"/>
    </w:rPr>
  </w:style>
  <w:style w:type="character" w:customStyle="1" w:styleId="rvts0">
    <w:name w:val="rvts0"/>
    <w:basedOn w:val="a0"/>
    <w:rsid w:val="004B494D"/>
  </w:style>
  <w:style w:type="paragraph" w:styleId="a5">
    <w:name w:val="header"/>
    <w:basedOn w:val="a"/>
    <w:link w:val="a6"/>
    <w:rsid w:val="007C1B8F"/>
    <w:pPr>
      <w:tabs>
        <w:tab w:val="center" w:pos="4819"/>
        <w:tab w:val="right" w:pos="9639"/>
      </w:tabs>
    </w:pPr>
  </w:style>
  <w:style w:type="character" w:customStyle="1" w:styleId="a6">
    <w:name w:val="Верхний колонтитул Знак"/>
    <w:basedOn w:val="a0"/>
    <w:link w:val="a5"/>
    <w:rsid w:val="007C1B8F"/>
    <w:rPr>
      <w:sz w:val="24"/>
      <w:szCs w:val="24"/>
    </w:rPr>
  </w:style>
  <w:style w:type="paragraph" w:styleId="a7">
    <w:name w:val="footer"/>
    <w:basedOn w:val="a"/>
    <w:link w:val="a8"/>
    <w:uiPriority w:val="99"/>
    <w:rsid w:val="007C1B8F"/>
    <w:pPr>
      <w:tabs>
        <w:tab w:val="center" w:pos="4819"/>
        <w:tab w:val="right" w:pos="9639"/>
      </w:tabs>
    </w:pPr>
  </w:style>
  <w:style w:type="character" w:customStyle="1" w:styleId="a8">
    <w:name w:val="Нижний колонтитул Знак"/>
    <w:basedOn w:val="a0"/>
    <w:link w:val="a7"/>
    <w:uiPriority w:val="99"/>
    <w:rsid w:val="007C1B8F"/>
    <w:rPr>
      <w:sz w:val="24"/>
      <w:szCs w:val="24"/>
    </w:rPr>
  </w:style>
  <w:style w:type="paragraph" w:customStyle="1" w:styleId="tjbmf">
    <w:name w:val="tj bmf"/>
    <w:basedOn w:val="a"/>
    <w:rsid w:val="00924961"/>
    <w:pPr>
      <w:spacing w:before="100" w:beforeAutospacing="1" w:after="100" w:afterAutospacing="1"/>
    </w:pPr>
  </w:style>
  <w:style w:type="paragraph" w:styleId="a9">
    <w:name w:val="Normal (Web)"/>
    <w:basedOn w:val="a"/>
    <w:link w:val="aa"/>
    <w:qFormat/>
    <w:rsid w:val="00BF27AF"/>
    <w:pPr>
      <w:spacing w:before="100" w:beforeAutospacing="1" w:after="100" w:afterAutospacing="1"/>
    </w:pPr>
  </w:style>
  <w:style w:type="character" w:customStyle="1" w:styleId="rvts23">
    <w:name w:val="rvts23"/>
    <w:basedOn w:val="a0"/>
    <w:rsid w:val="00AC4D73"/>
  </w:style>
  <w:style w:type="character" w:customStyle="1" w:styleId="rvts9">
    <w:name w:val="rvts9"/>
    <w:basedOn w:val="a0"/>
    <w:rsid w:val="00AC4D73"/>
  </w:style>
  <w:style w:type="character" w:customStyle="1" w:styleId="aa">
    <w:name w:val="Обычный (веб) Знак"/>
    <w:link w:val="a9"/>
    <w:rsid w:val="00AC4D73"/>
    <w:rPr>
      <w:sz w:val="24"/>
      <w:szCs w:val="24"/>
    </w:rPr>
  </w:style>
  <w:style w:type="paragraph" w:customStyle="1" w:styleId="rvps2">
    <w:name w:val="rvps2"/>
    <w:basedOn w:val="a"/>
    <w:rsid w:val="00EC6B60"/>
    <w:pPr>
      <w:spacing w:before="100" w:beforeAutospacing="1" w:after="100" w:afterAutospacing="1"/>
    </w:pPr>
  </w:style>
  <w:style w:type="paragraph" w:styleId="HTML">
    <w:name w:val="HTML Preformatted"/>
    <w:basedOn w:val="a"/>
    <w:link w:val="HTML0"/>
    <w:uiPriority w:val="99"/>
    <w:rsid w:val="00F3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321D0"/>
    <w:rPr>
      <w:rFonts w:ascii="Courier New" w:hAnsi="Courier New" w:cs="Courier New"/>
    </w:rPr>
  </w:style>
  <w:style w:type="paragraph" w:styleId="ab">
    <w:name w:val="annotation text"/>
    <w:basedOn w:val="a"/>
    <w:link w:val="ac"/>
    <w:rsid w:val="00F321D0"/>
    <w:rPr>
      <w:sz w:val="20"/>
      <w:szCs w:val="20"/>
      <w:lang w:val="ru-RU"/>
    </w:rPr>
  </w:style>
  <w:style w:type="character" w:customStyle="1" w:styleId="ac">
    <w:name w:val="Текст примечания Знак"/>
    <w:basedOn w:val="a0"/>
    <w:link w:val="ab"/>
    <w:rsid w:val="00F321D0"/>
    <w:rPr>
      <w:lang w:val="ru-RU"/>
    </w:rPr>
  </w:style>
  <w:style w:type="character" w:customStyle="1" w:styleId="rvts46">
    <w:name w:val="rvts46"/>
    <w:basedOn w:val="a0"/>
    <w:rsid w:val="00A06A1B"/>
  </w:style>
  <w:style w:type="character" w:customStyle="1" w:styleId="rvts11">
    <w:name w:val="rvts11"/>
    <w:basedOn w:val="a0"/>
    <w:rsid w:val="00A06A1B"/>
  </w:style>
  <w:style w:type="character" w:styleId="ad">
    <w:name w:val="Hyperlink"/>
    <w:basedOn w:val="a0"/>
    <w:rsid w:val="005B04B4"/>
    <w:rPr>
      <w:color w:val="0000FF"/>
      <w:u w:val="single"/>
    </w:rPr>
  </w:style>
  <w:style w:type="paragraph" w:styleId="ae">
    <w:name w:val="Plain Text"/>
    <w:basedOn w:val="a"/>
    <w:link w:val="af"/>
    <w:rsid w:val="00AF1E34"/>
    <w:rPr>
      <w:rFonts w:ascii="Courier New" w:hAnsi="Courier New"/>
      <w:sz w:val="20"/>
      <w:szCs w:val="20"/>
    </w:rPr>
  </w:style>
  <w:style w:type="character" w:customStyle="1" w:styleId="af">
    <w:name w:val="Текст Знак"/>
    <w:basedOn w:val="a0"/>
    <w:link w:val="ae"/>
    <w:rsid w:val="00AF1E34"/>
    <w:rPr>
      <w:rFonts w:ascii="Courier New" w:hAnsi="Courier New"/>
    </w:rPr>
  </w:style>
  <w:style w:type="character" w:styleId="af0">
    <w:name w:val="annotation reference"/>
    <w:uiPriority w:val="99"/>
    <w:unhideWhenUsed/>
    <w:rsid w:val="00D12841"/>
    <w:rPr>
      <w:sz w:val="16"/>
      <w:szCs w:val="16"/>
    </w:rPr>
  </w:style>
  <w:style w:type="character" w:customStyle="1" w:styleId="row-linelicense--description">
    <w:name w:val="row-line__license--description"/>
    <w:basedOn w:val="a0"/>
    <w:rsid w:val="00BA71D2"/>
  </w:style>
  <w:style w:type="character" w:customStyle="1" w:styleId="StrongEmphasis">
    <w:name w:val="Strong Emphasis"/>
    <w:rsid w:val="00E07767"/>
    <w:rPr>
      <w:b/>
      <w:bCs/>
    </w:rPr>
  </w:style>
  <w:style w:type="paragraph" w:customStyle="1" w:styleId="10">
    <w:name w:val="1"/>
    <w:basedOn w:val="a"/>
    <w:next w:val="a9"/>
    <w:link w:val="af1"/>
    <w:rsid w:val="00E604E9"/>
    <w:pPr>
      <w:spacing w:before="100" w:beforeAutospacing="1" w:after="100" w:afterAutospacing="1"/>
    </w:pPr>
  </w:style>
  <w:style w:type="character" w:customStyle="1" w:styleId="af1">
    <w:name w:val="Обычный (Интернет) Знак"/>
    <w:link w:val="10"/>
    <w:rsid w:val="00E604E9"/>
    <w:rPr>
      <w:rFonts w:ascii="Times New Roman" w:eastAsia="Times New Roman" w:hAnsi="Times New Roman" w:cs="Times New Roman"/>
      <w:sz w:val="24"/>
      <w:szCs w:val="24"/>
    </w:rPr>
  </w:style>
  <w:style w:type="paragraph" w:customStyle="1" w:styleId="tr">
    <w:name w:val="tr"/>
    <w:basedOn w:val="a"/>
    <w:rsid w:val="006D69AE"/>
    <w:pPr>
      <w:spacing w:before="100" w:beforeAutospacing="1" w:after="100" w:afterAutospacing="1"/>
    </w:pPr>
  </w:style>
  <w:style w:type="paragraph" w:styleId="af2">
    <w:name w:val="Body Text"/>
    <w:basedOn w:val="a"/>
    <w:link w:val="af3"/>
    <w:rsid w:val="00A83BDF"/>
    <w:pPr>
      <w:spacing w:after="120"/>
    </w:pPr>
  </w:style>
  <w:style w:type="character" w:customStyle="1" w:styleId="af3">
    <w:name w:val="Основной текст Знак"/>
    <w:basedOn w:val="a0"/>
    <w:link w:val="af2"/>
    <w:rsid w:val="00A83BDF"/>
    <w:rPr>
      <w:sz w:val="24"/>
      <w:szCs w:val="24"/>
    </w:rPr>
  </w:style>
  <w:style w:type="paragraph" w:customStyle="1" w:styleId="af4">
    <w:basedOn w:val="a"/>
    <w:next w:val="a9"/>
    <w:rsid w:val="0062134A"/>
    <w:pPr>
      <w:spacing w:before="100" w:beforeAutospacing="1" w:after="100" w:afterAutospacing="1"/>
    </w:pPr>
    <w:rPr>
      <w:lang/>
    </w:rPr>
  </w:style>
</w:styles>
</file>

<file path=word/webSettings.xml><?xml version="1.0" encoding="utf-8"?>
<w:webSettings xmlns:r="http://schemas.openxmlformats.org/officeDocument/2006/relationships" xmlns:w="http://schemas.openxmlformats.org/wordprocessingml/2006/main">
  <w:divs>
    <w:div w:id="126446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9340A-84A7-4F41-826C-00CAB7FD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1</Pages>
  <Words>10661</Words>
  <Characters>6078</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НАЦІОНАЛЬНА КОМІСІЯ З ЦІННИХ ПАПЕРІВ ТА ФОНДОВОГО РИНКУ</vt:lpstr>
    </vt:vector>
  </TitlesOfParts>
  <Company>SSMSC</Company>
  <LinksUpToDate>false</LinksUpToDate>
  <CharactersWithSpaces>16706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КОМІСІЯ З ЦІННИХ ПАПЕРІВ ТА ФОНДОВОГО РИНКУ</dc:title>
  <dc:creator>tarasko</dc:creator>
  <cp:lastModifiedBy>iryna.kochura</cp:lastModifiedBy>
  <cp:revision>44</cp:revision>
  <cp:lastPrinted>2021-05-13T08:37:00Z</cp:lastPrinted>
  <dcterms:created xsi:type="dcterms:W3CDTF">2018-03-28T12:56:00Z</dcterms:created>
  <dcterms:modified xsi:type="dcterms:W3CDTF">2021-05-13T08:37:00Z</dcterms:modified>
</cp:coreProperties>
</file>