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F1D" w:rsidRDefault="009F5F1D" w:rsidP="009F5F1D">
      <w:pPr>
        <w:pStyle w:val="1"/>
        <w:ind w:left="-540"/>
        <w:jc w:val="center"/>
        <w:rPr>
          <w:b/>
          <w:sz w:val="28"/>
          <w:szCs w:val="28"/>
        </w:rPr>
      </w:pPr>
      <w:r>
        <w:rPr>
          <w:b/>
          <w:sz w:val="28"/>
          <w:szCs w:val="28"/>
        </w:rPr>
        <w:t>НАЦІОНАЛЬНА КОМІСІЯ З ЦІННИХ ПАПЕРІВ ТА ФОНДОВОГО РИНКУ</w:t>
      </w:r>
    </w:p>
    <w:p w:rsidR="00D20385" w:rsidRDefault="00D20385" w:rsidP="00D20385">
      <w:pPr>
        <w:pStyle w:val="a3"/>
        <w:spacing w:after="0"/>
        <w:ind w:left="284"/>
        <w:rPr>
          <w:sz w:val="28"/>
          <w:szCs w:val="28"/>
        </w:rPr>
      </w:pPr>
    </w:p>
    <w:p w:rsidR="009F5F1D" w:rsidRDefault="009F5F1D" w:rsidP="009F5F1D">
      <w:pPr>
        <w:pStyle w:val="a3"/>
        <w:spacing w:after="0"/>
        <w:ind w:left="0"/>
        <w:jc w:val="center"/>
        <w:rPr>
          <w:b/>
          <w:sz w:val="28"/>
          <w:szCs w:val="28"/>
          <w:lang w:val="ru-RU"/>
        </w:rPr>
      </w:pPr>
      <w:r>
        <w:rPr>
          <w:b/>
          <w:sz w:val="28"/>
          <w:szCs w:val="28"/>
        </w:rPr>
        <w:t>П О С Т А Н О В А №</w:t>
      </w:r>
      <w:r w:rsidR="001D40B2">
        <w:rPr>
          <w:b/>
          <w:sz w:val="28"/>
          <w:szCs w:val="28"/>
          <w:lang w:val="ru-RU"/>
        </w:rPr>
        <w:t>8</w:t>
      </w:r>
      <w:r w:rsidR="000912E5">
        <w:rPr>
          <w:b/>
          <w:sz w:val="28"/>
          <w:szCs w:val="28"/>
          <w:lang w:val="ru-RU"/>
        </w:rPr>
        <w:t>3</w:t>
      </w:r>
      <w:r>
        <w:rPr>
          <w:b/>
          <w:sz w:val="28"/>
          <w:szCs w:val="28"/>
          <w:lang w:val="ru-RU"/>
        </w:rPr>
        <w:t>-Е</w:t>
      </w:r>
    </w:p>
    <w:p w:rsidR="009F5F1D" w:rsidRDefault="009F5F1D" w:rsidP="000912E5">
      <w:pPr>
        <w:pStyle w:val="21"/>
        <w:ind w:firstLine="0"/>
        <w:jc w:val="center"/>
        <w:rPr>
          <w:b/>
          <w:szCs w:val="28"/>
          <w:lang w:val="uk-UA"/>
        </w:rPr>
      </w:pPr>
      <w:r>
        <w:rPr>
          <w:b/>
          <w:szCs w:val="28"/>
          <w:lang w:val="uk-UA"/>
        </w:rPr>
        <w:t>про накладення санкції за правопорушення на ринках капіталу та організованих товарних ринках</w:t>
      </w:r>
    </w:p>
    <w:p w:rsidR="009F5F1D" w:rsidRDefault="009F5F1D" w:rsidP="009F5F1D">
      <w:pPr>
        <w:pStyle w:val="21"/>
        <w:ind w:right="-284" w:firstLine="0"/>
        <w:jc w:val="center"/>
        <w:rPr>
          <w:szCs w:val="28"/>
          <w:lang w:val="uk-UA"/>
        </w:rPr>
      </w:pPr>
    </w:p>
    <w:p w:rsidR="00153EA2" w:rsidRDefault="00153EA2" w:rsidP="009F5F1D">
      <w:pPr>
        <w:pStyle w:val="21"/>
        <w:ind w:right="-284" w:firstLine="0"/>
        <w:jc w:val="center"/>
        <w:rPr>
          <w:szCs w:val="28"/>
          <w:lang w:val="uk-UA"/>
        </w:rPr>
      </w:pPr>
    </w:p>
    <w:p w:rsidR="009F5F1D" w:rsidRDefault="009F5F1D" w:rsidP="009F5F1D">
      <w:pPr>
        <w:pStyle w:val="21"/>
        <w:ind w:right="-284" w:firstLine="0"/>
        <w:jc w:val="center"/>
        <w:rPr>
          <w:szCs w:val="28"/>
          <w:lang w:val="uk-UA"/>
        </w:rPr>
      </w:pPr>
      <w:r>
        <w:rPr>
          <w:szCs w:val="28"/>
          <w:lang w:val="uk-UA"/>
        </w:rPr>
        <w:t>м. Київ</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w:t>
      </w:r>
      <w:r w:rsidR="001D40B2">
        <w:rPr>
          <w:szCs w:val="28"/>
          <w:lang w:val="uk-UA"/>
        </w:rPr>
        <w:t>09</w:t>
      </w:r>
      <w:r>
        <w:rPr>
          <w:szCs w:val="28"/>
          <w:lang w:val="uk-UA"/>
        </w:rPr>
        <w:t xml:space="preserve"> лютого 2022 року</w:t>
      </w:r>
    </w:p>
    <w:p w:rsidR="009F5F1D" w:rsidRDefault="009F5F1D" w:rsidP="009F5F1D">
      <w:pPr>
        <w:jc w:val="both"/>
        <w:rPr>
          <w:sz w:val="28"/>
          <w:szCs w:val="28"/>
        </w:rPr>
      </w:pPr>
    </w:p>
    <w:p w:rsidR="00D20385" w:rsidRDefault="009F5F1D" w:rsidP="00877AF8">
      <w:pPr>
        <w:ind w:firstLine="709"/>
        <w:jc w:val="both"/>
        <w:rPr>
          <w:bCs/>
          <w:iCs/>
          <w:spacing w:val="-2"/>
          <w:sz w:val="28"/>
          <w:szCs w:val="28"/>
        </w:rPr>
      </w:pPr>
      <w:r>
        <w:rPr>
          <w:bCs/>
          <w:iCs/>
          <w:spacing w:val="-2"/>
          <w:sz w:val="28"/>
          <w:szCs w:val="28"/>
        </w:rPr>
        <w:t xml:space="preserve">Я, уповноважена особа Національної комісії з цінних паперів та фондового ринку (далі - Комісія) – член Комісії </w:t>
      </w:r>
      <w:r w:rsidR="001D40B2">
        <w:rPr>
          <w:bCs/>
          <w:iCs/>
          <w:spacing w:val="-2"/>
          <w:sz w:val="28"/>
          <w:szCs w:val="28"/>
        </w:rPr>
        <w:t>Шаповал</w:t>
      </w:r>
      <w:r>
        <w:rPr>
          <w:bCs/>
          <w:iCs/>
          <w:spacing w:val="-2"/>
          <w:sz w:val="28"/>
          <w:szCs w:val="28"/>
        </w:rPr>
        <w:t xml:space="preserve"> </w:t>
      </w:r>
      <w:r w:rsidR="001D40B2">
        <w:rPr>
          <w:bCs/>
          <w:iCs/>
          <w:spacing w:val="-2"/>
          <w:sz w:val="28"/>
          <w:szCs w:val="28"/>
        </w:rPr>
        <w:t>Ю.І</w:t>
      </w:r>
      <w:r>
        <w:rPr>
          <w:bCs/>
          <w:iCs/>
          <w:spacing w:val="-2"/>
          <w:sz w:val="28"/>
          <w:szCs w:val="28"/>
        </w:rPr>
        <w:t>.,  на підставі доруче</w:t>
      </w:r>
      <w:r w:rsidR="00382137">
        <w:rPr>
          <w:bCs/>
          <w:iCs/>
          <w:spacing w:val="-2"/>
          <w:sz w:val="28"/>
          <w:szCs w:val="28"/>
        </w:rPr>
        <w:t>нь</w:t>
      </w:r>
      <w:r>
        <w:rPr>
          <w:bCs/>
          <w:iCs/>
          <w:spacing w:val="-2"/>
          <w:sz w:val="28"/>
          <w:szCs w:val="28"/>
        </w:rPr>
        <w:t xml:space="preserve"> Голови Комісії  </w:t>
      </w:r>
      <w:proofErr w:type="spellStart"/>
      <w:r>
        <w:rPr>
          <w:bCs/>
          <w:iCs/>
          <w:spacing w:val="-2"/>
          <w:sz w:val="28"/>
          <w:szCs w:val="28"/>
        </w:rPr>
        <w:t>Магомедова</w:t>
      </w:r>
      <w:proofErr w:type="spellEnd"/>
      <w:r>
        <w:rPr>
          <w:bCs/>
          <w:iCs/>
          <w:spacing w:val="-2"/>
          <w:sz w:val="28"/>
          <w:szCs w:val="28"/>
        </w:rPr>
        <w:t xml:space="preserve"> Р. С. від </w:t>
      </w:r>
      <w:r w:rsidR="00516F89" w:rsidRPr="00516F89">
        <w:rPr>
          <w:bCs/>
          <w:iCs/>
          <w:spacing w:val="-2"/>
          <w:sz w:val="28"/>
          <w:szCs w:val="28"/>
        </w:rPr>
        <w:t>21.01.2022</w:t>
      </w:r>
      <w:r>
        <w:rPr>
          <w:bCs/>
          <w:iCs/>
          <w:spacing w:val="-2"/>
          <w:sz w:val="28"/>
          <w:szCs w:val="28"/>
        </w:rPr>
        <w:t xml:space="preserve"> №</w:t>
      </w:r>
      <w:r w:rsidR="00D479D0">
        <w:rPr>
          <w:bCs/>
          <w:iCs/>
          <w:spacing w:val="-2"/>
          <w:sz w:val="28"/>
          <w:szCs w:val="28"/>
        </w:rPr>
        <w:t>44</w:t>
      </w:r>
      <w:r>
        <w:rPr>
          <w:bCs/>
          <w:iCs/>
          <w:spacing w:val="-2"/>
          <w:sz w:val="28"/>
          <w:szCs w:val="28"/>
        </w:rPr>
        <w:t>-Е,</w:t>
      </w:r>
      <w:r w:rsidR="00382137">
        <w:rPr>
          <w:bCs/>
          <w:iCs/>
          <w:spacing w:val="-2"/>
          <w:sz w:val="28"/>
          <w:szCs w:val="28"/>
        </w:rPr>
        <w:t xml:space="preserve"> </w:t>
      </w:r>
      <w:r w:rsidR="00D479D0">
        <w:rPr>
          <w:bCs/>
          <w:iCs/>
          <w:spacing w:val="-2"/>
          <w:sz w:val="28"/>
          <w:szCs w:val="28"/>
        </w:rPr>
        <w:t>49</w:t>
      </w:r>
      <w:r w:rsidR="00382137">
        <w:rPr>
          <w:bCs/>
          <w:iCs/>
          <w:spacing w:val="-2"/>
          <w:sz w:val="28"/>
          <w:szCs w:val="28"/>
        </w:rPr>
        <w:t>-Е</w:t>
      </w:r>
      <w:r>
        <w:rPr>
          <w:bCs/>
          <w:iCs/>
          <w:spacing w:val="-2"/>
          <w:sz w:val="28"/>
          <w:szCs w:val="28"/>
        </w:rPr>
        <w:t xml:space="preserve"> розглянувши  матеріали справи про правопорушення на ринках капіталу та організованих товарних ринках, у відношенні </w:t>
      </w:r>
      <w:r w:rsidR="000912E5" w:rsidRPr="000912E5">
        <w:rPr>
          <w:bCs/>
          <w:iCs/>
          <w:spacing w:val="-2"/>
          <w:sz w:val="28"/>
          <w:szCs w:val="28"/>
        </w:rPr>
        <w:t>акціонерного товариства «ПІДПРИЄМСТВО ПО ВИРОБНИЦТВУ МЕДИЧНИХ ВИРОБІВ З ПОЛІМЕРНИХ МАТЕРІАЛІВ «ГЕМОПЛАСТ» (далі –АТ «ГЕМОПЛАСТ»; Товариство), місцезнаходження: 67700, Одеська обл., м. Білгород-Дністровський, вул. Маяковського, буд. 57; ідентифікаційний код юридичної особи: 00480922</w:t>
      </w:r>
      <w:r>
        <w:rPr>
          <w:sz w:val="28"/>
          <w:szCs w:val="28"/>
        </w:rPr>
        <w:t>,</w:t>
      </w:r>
      <w:r>
        <w:rPr>
          <w:bCs/>
          <w:iCs/>
          <w:spacing w:val="-2"/>
          <w:sz w:val="28"/>
          <w:szCs w:val="28"/>
        </w:rPr>
        <w:t xml:space="preserve"> </w:t>
      </w:r>
    </w:p>
    <w:p w:rsidR="00877AF8" w:rsidRPr="00D20385" w:rsidRDefault="00877AF8" w:rsidP="00877AF8">
      <w:pPr>
        <w:ind w:firstLine="709"/>
        <w:jc w:val="both"/>
        <w:rPr>
          <w:bCs/>
          <w:iCs/>
          <w:spacing w:val="-2"/>
          <w:sz w:val="28"/>
          <w:szCs w:val="28"/>
        </w:rPr>
      </w:pPr>
    </w:p>
    <w:p w:rsidR="009F5F1D" w:rsidRDefault="009F5F1D" w:rsidP="009F5F1D">
      <w:pPr>
        <w:jc w:val="center"/>
        <w:rPr>
          <w:bCs/>
          <w:color w:val="000000"/>
          <w:sz w:val="28"/>
          <w:szCs w:val="28"/>
          <w:shd w:val="clear" w:color="auto" w:fill="FBFBFB"/>
        </w:rPr>
      </w:pPr>
      <w:r>
        <w:rPr>
          <w:b/>
          <w:sz w:val="28"/>
          <w:szCs w:val="28"/>
        </w:rPr>
        <w:t>в с т а н о в и в:</w:t>
      </w:r>
    </w:p>
    <w:p w:rsidR="00877AF8" w:rsidRDefault="00877AF8" w:rsidP="00877AF8">
      <w:pPr>
        <w:rPr>
          <w:sz w:val="28"/>
          <w:szCs w:val="28"/>
        </w:rPr>
      </w:pPr>
    </w:p>
    <w:p w:rsidR="00DF5975" w:rsidRPr="00DF5975" w:rsidRDefault="00DF5975" w:rsidP="00DF5975">
      <w:pPr>
        <w:ind w:firstLine="720"/>
        <w:jc w:val="both"/>
        <w:rPr>
          <w:sz w:val="28"/>
          <w:szCs w:val="28"/>
        </w:rPr>
      </w:pPr>
      <w:r w:rsidRPr="00DF5975">
        <w:rPr>
          <w:sz w:val="28"/>
          <w:szCs w:val="28"/>
        </w:rPr>
        <w:t xml:space="preserve">у відношенні  АТ «ГЕМОПЛАСТ» було складено акт про правопорушення на ринках капіталу та організованих товарних ринках від 17.01.2022 №14-Е, відповідно до якого встановлено наступне. </w:t>
      </w:r>
    </w:p>
    <w:p w:rsidR="00DF5975" w:rsidRPr="00DF5975" w:rsidRDefault="00DF5975" w:rsidP="00DF5975">
      <w:pPr>
        <w:ind w:firstLine="720"/>
        <w:jc w:val="both"/>
        <w:rPr>
          <w:sz w:val="28"/>
          <w:szCs w:val="28"/>
        </w:rPr>
      </w:pPr>
      <w:r w:rsidRPr="00DF5975">
        <w:rPr>
          <w:sz w:val="28"/>
          <w:szCs w:val="28"/>
        </w:rPr>
        <w:t>Пунктом 8 статті 8 Закону України «Про державне регулювання ринків капіталу та організованих товарних ринків» передбачено, що Комісія має право здійснювати контроль за достовірністю і розкриттям інформації, що здійснюється емітентами, суб'єктами системи накопичувального пенсійного забезпечення (крім вкладників та учасників) та особами, які здійснюють професійну діяльність на ринках капіталу та організованих товарних ринках, і саморегулівними організаціями, та її відповідністю встановленим вимогам.</w:t>
      </w:r>
    </w:p>
    <w:p w:rsidR="00DF5975" w:rsidRPr="00DF5975" w:rsidRDefault="00DF5975" w:rsidP="00DF5975">
      <w:pPr>
        <w:ind w:firstLine="720"/>
        <w:jc w:val="both"/>
        <w:rPr>
          <w:sz w:val="28"/>
          <w:szCs w:val="28"/>
        </w:rPr>
      </w:pPr>
      <w:r w:rsidRPr="00DF5975">
        <w:rPr>
          <w:sz w:val="28"/>
          <w:szCs w:val="28"/>
        </w:rPr>
        <w:t xml:space="preserve">Частиною 2 статті 124 Закону України «Про ринки капіталу та організовані товарні ринки» встановлено, що учасники ринків капіталу та професійні учасники організованих товарних ринків зобов’язані розкривати регульовану інформацію відповідно до вимог, в обсязі та строки, встановлені цим Законом та нормативно-правовими актами Комісії. </w:t>
      </w:r>
    </w:p>
    <w:p w:rsidR="00DF5975" w:rsidRPr="00DF5975" w:rsidRDefault="00DF5975" w:rsidP="00DF5975">
      <w:pPr>
        <w:ind w:firstLine="720"/>
        <w:jc w:val="both"/>
        <w:rPr>
          <w:sz w:val="28"/>
          <w:szCs w:val="28"/>
        </w:rPr>
      </w:pPr>
      <w:r w:rsidRPr="00DF5975">
        <w:rPr>
          <w:sz w:val="28"/>
          <w:szCs w:val="28"/>
        </w:rPr>
        <w:t>В редакції Закону України «Про цінні папери та фондовий ринок», що діяла на дату вчинення правопорушення, аналогічні положення містила норма частини 2 статті 39, таким чином, діяння не втратило характер правопорушення.</w:t>
      </w:r>
    </w:p>
    <w:p w:rsidR="00DF5975" w:rsidRPr="00DF5975" w:rsidRDefault="00DF5975" w:rsidP="00DF5975">
      <w:pPr>
        <w:ind w:firstLine="720"/>
        <w:jc w:val="both"/>
        <w:rPr>
          <w:sz w:val="28"/>
          <w:szCs w:val="28"/>
        </w:rPr>
      </w:pPr>
      <w:r w:rsidRPr="00DF5975">
        <w:rPr>
          <w:sz w:val="28"/>
          <w:szCs w:val="28"/>
        </w:rPr>
        <w:t>Відповідно до частини 1 статті 126 Закону України «Про ринки капіталу та організовані товарні ринки»  регулярна інформація про емітента – це річна та проміжна звітна інформація про результати фінансово-господарської діяльності емітента, яка розкривається на ринках капіталу та організованих товарних ринках, у тому числі шляхом подання до Комісії.</w:t>
      </w:r>
    </w:p>
    <w:p w:rsidR="00DF5975" w:rsidRPr="00DF5975" w:rsidRDefault="00DF5975" w:rsidP="00DF5975">
      <w:pPr>
        <w:ind w:firstLine="720"/>
        <w:jc w:val="both"/>
        <w:rPr>
          <w:sz w:val="28"/>
          <w:szCs w:val="28"/>
        </w:rPr>
      </w:pPr>
      <w:r w:rsidRPr="00DF5975">
        <w:rPr>
          <w:sz w:val="28"/>
          <w:szCs w:val="28"/>
        </w:rPr>
        <w:t>Частиною</w:t>
      </w:r>
      <w:r w:rsidRPr="00DF5975">
        <w:rPr>
          <w:sz w:val="28"/>
          <w:szCs w:val="28"/>
        </w:rPr>
        <w:tab/>
        <w:t xml:space="preserve">4 статті 126 Закону України «Про ринки капіталу та організовані товарні ринки» встановлено, що річна інформація про емітента є </w:t>
      </w:r>
      <w:r w:rsidRPr="00DF5975">
        <w:rPr>
          <w:sz w:val="28"/>
          <w:szCs w:val="28"/>
        </w:rPr>
        <w:lastRenderedPageBreak/>
        <w:t>регульованою інформацією та підлягає розкриттю емітентом не пізніше 30 квітня року, наступного за звітним.</w:t>
      </w:r>
    </w:p>
    <w:p w:rsidR="00DF5975" w:rsidRPr="00DF5975" w:rsidRDefault="00DF5975" w:rsidP="00DF5975">
      <w:pPr>
        <w:ind w:firstLine="720"/>
        <w:jc w:val="both"/>
        <w:rPr>
          <w:sz w:val="28"/>
          <w:szCs w:val="28"/>
        </w:rPr>
      </w:pPr>
      <w:r w:rsidRPr="00DF5975">
        <w:rPr>
          <w:sz w:val="28"/>
          <w:szCs w:val="28"/>
        </w:rPr>
        <w:t>В редакції Закону України «Про цінні папери та фондовий ринок», що діяла на дату вчинення правопорушення, аналогічні положення містила норма статті 40, таким чином, діяння не втратило характеру правопорушення.</w:t>
      </w:r>
    </w:p>
    <w:p w:rsidR="00DF5975" w:rsidRPr="00DF5975" w:rsidRDefault="00DF5975" w:rsidP="00DF5975">
      <w:pPr>
        <w:ind w:firstLine="720"/>
        <w:jc w:val="both"/>
        <w:rPr>
          <w:sz w:val="28"/>
          <w:szCs w:val="28"/>
        </w:rPr>
      </w:pPr>
      <w:r w:rsidRPr="00DF5975">
        <w:rPr>
          <w:sz w:val="28"/>
          <w:szCs w:val="28"/>
        </w:rPr>
        <w:t xml:space="preserve">Пунктом 4  глави  4 розділу II Положення про розкриття інформації емітентами цінних паперів, затвердженого рішенням Комісії від 03.12.2013 № 2826, зареєстрованим в Міністерстві юстиції України 24.12.2013 за № 2180/24712 (далі – Положення № 2826) встановлено, що емітенти цінних паперів до подання регулярної річної інформації до Комісії розміщують її на власному </w:t>
      </w:r>
      <w:proofErr w:type="spellStart"/>
      <w:r w:rsidRPr="00DF5975">
        <w:rPr>
          <w:sz w:val="28"/>
          <w:szCs w:val="28"/>
        </w:rPr>
        <w:t>вебсайті</w:t>
      </w:r>
      <w:proofErr w:type="spellEnd"/>
      <w:r w:rsidRPr="00DF5975">
        <w:rPr>
          <w:sz w:val="28"/>
          <w:szCs w:val="28"/>
        </w:rPr>
        <w:t xml:space="preserve"> та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w:t>
      </w:r>
    </w:p>
    <w:p w:rsidR="00DF5975" w:rsidRPr="00DF5975" w:rsidRDefault="00DF5975" w:rsidP="00DF5975">
      <w:pPr>
        <w:ind w:firstLine="720"/>
        <w:jc w:val="both"/>
        <w:rPr>
          <w:sz w:val="28"/>
          <w:szCs w:val="28"/>
        </w:rPr>
      </w:pPr>
      <w:r w:rsidRPr="00DF5975">
        <w:rPr>
          <w:sz w:val="28"/>
          <w:szCs w:val="28"/>
        </w:rPr>
        <w:t xml:space="preserve">Частиною 10 статті 126 Закону України «Про ринки капіталу та організовані товарні ринки» встановлено, зокрема, що емітент, щодо інших цінних паперів (крім акцій) якого здійснено публічну пропозицію та/або цінні папери якого допущені до торгів на регульованому фондовому ринку, зобов’язаний розкривати інформацію відповідно до вимог цієї статті, крім вимог крім вимог пунктів 6-10 та 21 частини третьої та пунктів 9, 10 частини п’ятої цієї статті. </w:t>
      </w:r>
    </w:p>
    <w:p w:rsidR="00DF5975" w:rsidRPr="00DF5975" w:rsidRDefault="00DF5975" w:rsidP="00DF5975">
      <w:pPr>
        <w:ind w:firstLine="720"/>
        <w:jc w:val="both"/>
        <w:rPr>
          <w:sz w:val="28"/>
          <w:szCs w:val="28"/>
        </w:rPr>
      </w:pPr>
      <w:r w:rsidRPr="00DF5975">
        <w:rPr>
          <w:sz w:val="28"/>
          <w:szCs w:val="28"/>
        </w:rPr>
        <w:t>Пунктом 14 розділу І Положення № 2826 передбачено, що емітенти цінних паперів зобов’язані складати Інформацію у повному обсязі відповідно до вимог цього Положення.</w:t>
      </w:r>
    </w:p>
    <w:p w:rsidR="00DF5975" w:rsidRPr="00DF5975" w:rsidRDefault="00DF5975" w:rsidP="00DF5975">
      <w:pPr>
        <w:ind w:firstLine="720"/>
        <w:jc w:val="both"/>
        <w:rPr>
          <w:sz w:val="28"/>
          <w:szCs w:val="28"/>
        </w:rPr>
      </w:pPr>
      <w:r w:rsidRPr="00DF5975">
        <w:rPr>
          <w:sz w:val="28"/>
          <w:szCs w:val="28"/>
        </w:rPr>
        <w:t xml:space="preserve">За наявними у Комісії адміністративними даними, наданими відповідно до вимог 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 затвердженого рішенням Комісії 25.09.2012 № 1284, зареєстрованим в Міністерстві юстиції України 16.10.2012 за № 1738/22050, цінні папери АТ «ГЕМОПЛАСТ» у 2020 році перебували в біржовому списку. Таким чином, емітент набув статусу підприємства, що становить суспільний інтерес. </w:t>
      </w:r>
    </w:p>
    <w:p w:rsidR="00DF5975" w:rsidRPr="00DF5975" w:rsidRDefault="00DF5975" w:rsidP="00DF5975">
      <w:pPr>
        <w:ind w:firstLine="720"/>
        <w:jc w:val="both"/>
        <w:rPr>
          <w:sz w:val="28"/>
          <w:szCs w:val="28"/>
        </w:rPr>
      </w:pPr>
      <w:r w:rsidRPr="00DF5975">
        <w:rPr>
          <w:sz w:val="28"/>
          <w:szCs w:val="28"/>
        </w:rPr>
        <w:t xml:space="preserve">Відповідно пункту 3 глава 4 розділу III до Положення № 2826, річний звіт керівництва має містити звіт про корпоративне управління. </w:t>
      </w:r>
    </w:p>
    <w:p w:rsidR="00DF5975" w:rsidRPr="00DF5975" w:rsidRDefault="00DF5975" w:rsidP="00DF5975">
      <w:pPr>
        <w:ind w:firstLine="720"/>
        <w:jc w:val="both"/>
        <w:rPr>
          <w:sz w:val="28"/>
          <w:szCs w:val="28"/>
        </w:rPr>
      </w:pPr>
      <w:r w:rsidRPr="00DF5975">
        <w:rPr>
          <w:sz w:val="28"/>
          <w:szCs w:val="28"/>
        </w:rPr>
        <w:t xml:space="preserve">АТ «ГЕМОПЛАСТ» 15.04.2021 подало до Комісії за реєстраційним номером 143029, розкрило на загальнодоступній базі даних Комісії (далі ЗДБД) регулярну річну інформацію за 2020 рік не в повному обсязі: а саме в складі звіту керівництва (звіт про управління) відсутня інформація щодо висловлення думки аудитора (аудиторської фірми) щодо інформації, зазначеної у підпунктах 5 - 9 пункту 3 Положення № 2826, а також перевірки інформації, зазначеної в підпунктах 1 - 4 пункту 3 Положення № 2826. </w:t>
      </w:r>
    </w:p>
    <w:p w:rsidR="00DF5975" w:rsidRPr="00DF5975" w:rsidRDefault="00DF5975" w:rsidP="00442CB3">
      <w:pPr>
        <w:ind w:firstLine="720"/>
        <w:jc w:val="both"/>
        <w:rPr>
          <w:sz w:val="28"/>
          <w:szCs w:val="28"/>
        </w:rPr>
      </w:pPr>
      <w:r w:rsidRPr="00DF5975">
        <w:rPr>
          <w:sz w:val="28"/>
          <w:szCs w:val="28"/>
        </w:rPr>
        <w:t>Таким чином, Товариством порушені вимоги частини 4 статті 126 та частини 2 статті 124 Закону України «Про ринки капіталу та організовані товарні ринки», пункту 14 розділу І Положення № 2826, в частині розміщення в загальнодоступній базі даних Комісії та подання до Комісії та  регулярної річної інформації з</w:t>
      </w:r>
      <w:r w:rsidR="00442CB3">
        <w:rPr>
          <w:sz w:val="28"/>
          <w:szCs w:val="28"/>
        </w:rPr>
        <w:t>а 2020 рік не в повному обсязі.</w:t>
      </w:r>
    </w:p>
    <w:p w:rsidR="00DF5975" w:rsidRPr="00DF5975" w:rsidRDefault="00DF5975" w:rsidP="00DF5975">
      <w:pPr>
        <w:ind w:firstLine="720"/>
        <w:jc w:val="both"/>
        <w:rPr>
          <w:sz w:val="28"/>
          <w:szCs w:val="28"/>
        </w:rPr>
      </w:pPr>
      <w:r w:rsidRPr="00DF5975">
        <w:rPr>
          <w:sz w:val="28"/>
          <w:szCs w:val="28"/>
        </w:rPr>
        <w:lastRenderedPageBreak/>
        <w:t xml:space="preserve">Також, у відношенні АТ «ГЕМОПЛАСТ» було складено акт про правопорушення на ринках капіталу та організованих товарних ринках від 17.01.2022 №15-Е, відповідно до якого встановлено наступне. </w:t>
      </w:r>
    </w:p>
    <w:p w:rsidR="00DF5975" w:rsidRPr="00DF5975" w:rsidRDefault="00DF5975" w:rsidP="00DF5975">
      <w:pPr>
        <w:ind w:firstLine="720"/>
        <w:jc w:val="both"/>
        <w:rPr>
          <w:sz w:val="28"/>
          <w:szCs w:val="28"/>
        </w:rPr>
      </w:pPr>
      <w:r w:rsidRPr="00DF5975">
        <w:rPr>
          <w:sz w:val="28"/>
          <w:szCs w:val="28"/>
        </w:rPr>
        <w:t xml:space="preserve">Пунктом 8 статті 8 Закону України Про державне регулювання ринків капіталу та організованих товарних ринків» передбачено, що Комісія має право здійснювати контроль за достовірністю і розкриттям інформації, що здійснюється емітентами, суб'єктами системи накопичувального пенсійного забезпечення (крім вкладників та учасників) та особами, які здійснюють професійну діяльність на ринках капіталу та організованих товарних ринках, і саморегулівними організаціями, та її відповідністю встановленим вимогам. </w:t>
      </w:r>
    </w:p>
    <w:p w:rsidR="00DF5975" w:rsidRPr="00DF5975" w:rsidRDefault="00DF5975" w:rsidP="00DF5975">
      <w:pPr>
        <w:ind w:firstLine="720"/>
        <w:jc w:val="both"/>
        <w:rPr>
          <w:sz w:val="28"/>
          <w:szCs w:val="28"/>
        </w:rPr>
      </w:pPr>
      <w:r w:rsidRPr="00DF5975">
        <w:rPr>
          <w:sz w:val="28"/>
          <w:szCs w:val="28"/>
        </w:rPr>
        <w:t xml:space="preserve">Частиною 2 статті 124 Закону України «Про ринки капіталу та організовані товарні ринки» встановлено, що учасники ринків капіталу та професійні учасники організованих товарних ринків зобов’язані розкривати регульовану інформацію відповідно до вимог, в обсязі та строки, встановлені цим Законом та нормативно-правовими актами Комісії. </w:t>
      </w:r>
    </w:p>
    <w:p w:rsidR="00DF5975" w:rsidRPr="00DF5975" w:rsidRDefault="00DF5975" w:rsidP="00DF5975">
      <w:pPr>
        <w:ind w:firstLine="720"/>
        <w:jc w:val="both"/>
        <w:rPr>
          <w:sz w:val="28"/>
          <w:szCs w:val="28"/>
        </w:rPr>
      </w:pPr>
      <w:r w:rsidRPr="00DF5975">
        <w:rPr>
          <w:sz w:val="28"/>
          <w:szCs w:val="28"/>
        </w:rPr>
        <w:t>В редакції Закону України «Про цінні папери та фондовий ринок», що діяла на дату вчинення правопорушення, аналогічні положення містила норма частини 2 статті 39, таким чином, діяння не втратило характер правопорушення.</w:t>
      </w:r>
    </w:p>
    <w:p w:rsidR="00DF5975" w:rsidRPr="00DF5975" w:rsidRDefault="00DF5975" w:rsidP="00DF5975">
      <w:pPr>
        <w:ind w:firstLine="720"/>
        <w:jc w:val="both"/>
        <w:rPr>
          <w:sz w:val="28"/>
          <w:szCs w:val="28"/>
        </w:rPr>
      </w:pPr>
      <w:r w:rsidRPr="00DF5975">
        <w:rPr>
          <w:sz w:val="28"/>
          <w:szCs w:val="28"/>
        </w:rPr>
        <w:t>Відповідно до частини 4 статті 126 Закону України «Про ринки капіталу та організовані товарні ринки», річна інформація про емітента є регульованою інформацією та підлягає розкриттю емітентом не пізніше 30 квітня року, наступного за звітним.</w:t>
      </w:r>
    </w:p>
    <w:p w:rsidR="00DF5975" w:rsidRPr="00DF5975" w:rsidRDefault="00DF5975" w:rsidP="00DF5975">
      <w:pPr>
        <w:ind w:firstLine="720"/>
        <w:jc w:val="both"/>
        <w:rPr>
          <w:sz w:val="28"/>
          <w:szCs w:val="28"/>
        </w:rPr>
      </w:pPr>
      <w:r w:rsidRPr="00DF5975">
        <w:rPr>
          <w:sz w:val="28"/>
          <w:szCs w:val="28"/>
        </w:rPr>
        <w:t xml:space="preserve">Річна інформація про емітента розміщується на офіційному </w:t>
      </w:r>
      <w:proofErr w:type="spellStart"/>
      <w:r w:rsidRPr="00DF5975">
        <w:rPr>
          <w:sz w:val="28"/>
          <w:szCs w:val="28"/>
        </w:rPr>
        <w:t>вебсайті</w:t>
      </w:r>
      <w:proofErr w:type="spellEnd"/>
      <w:r w:rsidRPr="00DF5975">
        <w:rPr>
          <w:sz w:val="28"/>
          <w:szCs w:val="28"/>
        </w:rPr>
        <w:t xml:space="preserve"> емітента та є загальнодоступною протягом не менш як 10 років після її розкриття.</w:t>
      </w:r>
    </w:p>
    <w:p w:rsidR="00DF5975" w:rsidRPr="00DF5975" w:rsidRDefault="00DF5975" w:rsidP="00D20385">
      <w:pPr>
        <w:ind w:firstLine="720"/>
        <w:jc w:val="both"/>
        <w:rPr>
          <w:sz w:val="28"/>
          <w:szCs w:val="28"/>
        </w:rPr>
      </w:pPr>
      <w:r w:rsidRPr="00DF5975">
        <w:rPr>
          <w:sz w:val="28"/>
          <w:szCs w:val="28"/>
        </w:rPr>
        <w:t>В редакції Закону України «Про цінні папери та фондовий ринок», що діяла на дату вчинення правопорушення аналогічні положення містила норма статті 40, таким чином діяння не втр</w:t>
      </w:r>
      <w:r w:rsidR="00D20385">
        <w:rPr>
          <w:sz w:val="28"/>
          <w:szCs w:val="28"/>
        </w:rPr>
        <w:t>атило характеру правопорушення.</w:t>
      </w:r>
    </w:p>
    <w:p w:rsidR="00DF5975" w:rsidRPr="00DF5975" w:rsidRDefault="00DF5975" w:rsidP="00DF5975">
      <w:pPr>
        <w:ind w:firstLine="720"/>
        <w:jc w:val="both"/>
        <w:rPr>
          <w:sz w:val="28"/>
          <w:szCs w:val="28"/>
        </w:rPr>
      </w:pPr>
      <w:r w:rsidRPr="00DF5975">
        <w:rPr>
          <w:sz w:val="28"/>
          <w:szCs w:val="28"/>
        </w:rPr>
        <w:t xml:space="preserve">Пунктом 4  глави  4 розділу II Положення № 2826 встановлено, що розкриття регулярної річної інформації має здійснюватись не пізніше 30 квітня року, наступного за звітним. Емітенти цінних паперів до подання регулярної річної інформації до Комісії розміщують її на власному </w:t>
      </w:r>
      <w:proofErr w:type="spellStart"/>
      <w:r w:rsidRPr="00DF5975">
        <w:rPr>
          <w:sz w:val="28"/>
          <w:szCs w:val="28"/>
        </w:rPr>
        <w:t>вебсайті</w:t>
      </w:r>
      <w:proofErr w:type="spellEnd"/>
      <w:r w:rsidRPr="00DF5975">
        <w:rPr>
          <w:sz w:val="28"/>
          <w:szCs w:val="28"/>
        </w:rPr>
        <w:t>.</w:t>
      </w:r>
    </w:p>
    <w:p w:rsidR="00DF5975" w:rsidRPr="00DF5975" w:rsidRDefault="00DF5975" w:rsidP="00DF5975">
      <w:pPr>
        <w:ind w:firstLine="720"/>
        <w:jc w:val="both"/>
        <w:rPr>
          <w:sz w:val="28"/>
          <w:szCs w:val="28"/>
        </w:rPr>
      </w:pPr>
      <w:r w:rsidRPr="00DF5975">
        <w:rPr>
          <w:sz w:val="28"/>
          <w:szCs w:val="28"/>
        </w:rPr>
        <w:t xml:space="preserve">Частиною 10 статті 126 Закону України «Про ринки капіталу та організовані товарні ринки» встановлено, зокрема, що емітент, щодо інших цінних паперів (крім акцій) якого здійснено публічну пропозицію та/або цінні папери якого допущені до торгів на регульованому фондовому ринку, зобов’язаний розкривати інформацію відповідно до вимог цієї статті, крім вимог пунктів 6-10 та 21 частини третьої та пунктів 9, 10 частини п’ятої цієї статті. </w:t>
      </w:r>
    </w:p>
    <w:p w:rsidR="00DF5975" w:rsidRPr="00DF5975" w:rsidRDefault="00DF5975" w:rsidP="00DF5975">
      <w:pPr>
        <w:ind w:firstLine="720"/>
        <w:jc w:val="both"/>
        <w:rPr>
          <w:sz w:val="28"/>
          <w:szCs w:val="28"/>
        </w:rPr>
      </w:pPr>
      <w:r w:rsidRPr="00DF5975">
        <w:rPr>
          <w:sz w:val="28"/>
          <w:szCs w:val="28"/>
        </w:rPr>
        <w:t xml:space="preserve">Пунктом 14 розділу І Положення № 2826 передбачено, що емітенти цінних паперів зобов’язані складати Інформацію у повному обсязі відповідно до вимог цього Положення. </w:t>
      </w:r>
    </w:p>
    <w:p w:rsidR="00DF5975" w:rsidRPr="00DF5975" w:rsidRDefault="00DF5975" w:rsidP="00DF5975">
      <w:pPr>
        <w:ind w:firstLine="720"/>
        <w:jc w:val="both"/>
        <w:rPr>
          <w:sz w:val="28"/>
          <w:szCs w:val="28"/>
        </w:rPr>
      </w:pPr>
      <w:r w:rsidRPr="00DF5975">
        <w:rPr>
          <w:sz w:val="28"/>
          <w:szCs w:val="28"/>
        </w:rPr>
        <w:t xml:space="preserve">Пунктом 8 розділу І Положення № 2826, зокрема, встановлено, що Інформація підлягає оприлюдненню емітентом на власному </w:t>
      </w:r>
      <w:proofErr w:type="spellStart"/>
      <w:r w:rsidRPr="00DF5975">
        <w:rPr>
          <w:sz w:val="28"/>
          <w:szCs w:val="28"/>
        </w:rPr>
        <w:t>вебсайті</w:t>
      </w:r>
      <w:proofErr w:type="spellEnd"/>
      <w:r w:rsidRPr="00DF5975">
        <w:rPr>
          <w:sz w:val="28"/>
          <w:szCs w:val="28"/>
        </w:rPr>
        <w:t xml:space="preserve"> у формі електронного документа, придатного для сприймання змісту Інформації людиною, відтворення Інформації на папері, необмеженого завантаження та копіювання, із накладенням кваліфікованого електронного підпису уповноваженої особи емітента або кваліфікованої електронної печатки емітента. </w:t>
      </w:r>
      <w:r w:rsidRPr="00DF5975">
        <w:rPr>
          <w:sz w:val="28"/>
          <w:szCs w:val="28"/>
        </w:rPr>
        <w:lastRenderedPageBreak/>
        <w:t xml:space="preserve">До оприлюднення Інформації емітента на власному </w:t>
      </w:r>
      <w:proofErr w:type="spellStart"/>
      <w:r w:rsidRPr="00DF5975">
        <w:rPr>
          <w:sz w:val="28"/>
          <w:szCs w:val="28"/>
        </w:rPr>
        <w:t>вебсайті</w:t>
      </w:r>
      <w:proofErr w:type="spellEnd"/>
      <w:r w:rsidRPr="00DF5975">
        <w:rPr>
          <w:sz w:val="28"/>
          <w:szCs w:val="28"/>
        </w:rPr>
        <w:t xml:space="preserve"> у зазначеній формі її оприлюднення в інших формах не допускається. </w:t>
      </w:r>
    </w:p>
    <w:p w:rsidR="00DF5975" w:rsidRPr="00DF5975" w:rsidRDefault="00DF5975" w:rsidP="00DF5975">
      <w:pPr>
        <w:ind w:firstLine="720"/>
        <w:jc w:val="both"/>
        <w:rPr>
          <w:sz w:val="28"/>
          <w:szCs w:val="28"/>
        </w:rPr>
      </w:pPr>
      <w:r w:rsidRPr="00DF5975">
        <w:rPr>
          <w:sz w:val="28"/>
          <w:szCs w:val="28"/>
        </w:rPr>
        <w:t xml:space="preserve">За наявними у Комісії адміністративними даними, наданими відповідно до вимог 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 затвердженого рішенням Комісії 25.09.2012 № 1284, зареєстрованого в Міністерстві юстиції України 16.10.2012 за № 1738/22050, цінні папери АТ «ГЕМОПЛАСТ» у 2020 перебували в біржовому списку. Таким чином, емітент набув статусу підприємства, що становить суспільний інтерес. </w:t>
      </w:r>
    </w:p>
    <w:p w:rsidR="00DF5975" w:rsidRPr="00DF5975" w:rsidRDefault="00DF5975" w:rsidP="00DF5975">
      <w:pPr>
        <w:ind w:firstLine="720"/>
        <w:jc w:val="both"/>
        <w:rPr>
          <w:sz w:val="28"/>
          <w:szCs w:val="28"/>
        </w:rPr>
      </w:pPr>
      <w:r w:rsidRPr="00DF5975">
        <w:rPr>
          <w:sz w:val="28"/>
          <w:szCs w:val="28"/>
        </w:rPr>
        <w:t>Пунктом 1 глави 4 розділу ІІI Положення № 2826, встановлено, що регулярна річна інформація включає, зокрема, звіт керівництва (звіт про управління).</w:t>
      </w:r>
    </w:p>
    <w:p w:rsidR="00DF5975" w:rsidRPr="00DF5975" w:rsidRDefault="00DF5975" w:rsidP="00DF5975">
      <w:pPr>
        <w:ind w:firstLine="720"/>
        <w:jc w:val="both"/>
        <w:rPr>
          <w:sz w:val="28"/>
          <w:szCs w:val="28"/>
        </w:rPr>
      </w:pPr>
      <w:r w:rsidRPr="00DF5975">
        <w:rPr>
          <w:sz w:val="28"/>
          <w:szCs w:val="28"/>
        </w:rPr>
        <w:t xml:space="preserve">Відповідно до наявної в Комісії інформації офіційний сайт АТ «ГЕМОПЛАСТ» https://hemoplast.ua/.   </w:t>
      </w:r>
    </w:p>
    <w:p w:rsidR="00DF5975" w:rsidRPr="00DF5975" w:rsidRDefault="00DF5975" w:rsidP="00DF5975">
      <w:pPr>
        <w:ind w:firstLine="720"/>
        <w:jc w:val="both"/>
        <w:rPr>
          <w:sz w:val="28"/>
          <w:szCs w:val="28"/>
        </w:rPr>
      </w:pPr>
      <w:r w:rsidRPr="00DF5975">
        <w:rPr>
          <w:sz w:val="28"/>
          <w:szCs w:val="28"/>
        </w:rPr>
        <w:t xml:space="preserve">Станом на 22.10.2021 за результатом моніторингу власного сайту річна інформація за 2020 розкрита за посиланням https://hemoplast.ua/news/new-pages- 67e0e5914f9a0e14bbd9ea275255b5e4 яке посилається на https://hemoplast.ua/files/ </w:t>
      </w:r>
      <w:proofErr w:type="spellStart"/>
      <w:r w:rsidRPr="00DF5975">
        <w:rPr>
          <w:sz w:val="28"/>
          <w:szCs w:val="28"/>
        </w:rPr>
        <w:t>news</w:t>
      </w:r>
      <w:proofErr w:type="spellEnd"/>
      <w:r w:rsidRPr="00DF5975">
        <w:rPr>
          <w:sz w:val="28"/>
          <w:szCs w:val="28"/>
        </w:rPr>
        <w:t xml:space="preserve">/ZVIT_Gemoplast_2020_new.pdf. </w:t>
      </w:r>
    </w:p>
    <w:p w:rsidR="00DF5975" w:rsidRPr="00DF5975" w:rsidRDefault="00DF5975" w:rsidP="00DF5975">
      <w:pPr>
        <w:ind w:firstLine="720"/>
        <w:jc w:val="both"/>
        <w:rPr>
          <w:sz w:val="28"/>
          <w:szCs w:val="28"/>
        </w:rPr>
      </w:pPr>
      <w:r w:rsidRPr="00DF5975">
        <w:rPr>
          <w:sz w:val="28"/>
          <w:szCs w:val="28"/>
        </w:rPr>
        <w:t xml:space="preserve">АТ «ГЕМОПЛАСТ» встановлено відсутність накладення кваліфікованого електронного підпису уповноваженої особи емітента або кваліфікованої електронної печатки емітента та відсутність у звіті керівництва (звіті про управління) інформації щодо висловлення думки аудитора (аудиторської фірми) щодо інформації, зазначеної у підпунктах 5 - 9 пункту 3 Положення № 2826, а також перевірки інформації, зазначеної в підпунктах 1 - 4 пункту 3 Положення № 2826. </w:t>
      </w:r>
    </w:p>
    <w:p w:rsidR="00DF5975" w:rsidRDefault="00DF5975" w:rsidP="00DF5975">
      <w:pPr>
        <w:ind w:firstLine="720"/>
        <w:jc w:val="both"/>
        <w:rPr>
          <w:sz w:val="28"/>
          <w:szCs w:val="28"/>
        </w:rPr>
      </w:pPr>
      <w:r w:rsidRPr="00DF5975">
        <w:rPr>
          <w:sz w:val="28"/>
          <w:szCs w:val="28"/>
        </w:rPr>
        <w:t>Таким чином, Товариством порушені вимоги частини 4 статті 126 та частини 2 статті 124 Закону України «Про ринки капіталу та організовані товарні ринки», пункту 14 розділу І Положення № 2826, в частині розміщення на власному сайті регулярної річної інформації за 2020 рік не в повному обсязі.</w:t>
      </w:r>
    </w:p>
    <w:p w:rsidR="00B73F50" w:rsidRDefault="009F5F1D" w:rsidP="00B73F50">
      <w:pPr>
        <w:ind w:firstLine="720"/>
        <w:jc w:val="both"/>
        <w:rPr>
          <w:sz w:val="28"/>
          <w:szCs w:val="28"/>
        </w:rPr>
      </w:pPr>
      <w:r>
        <w:rPr>
          <w:sz w:val="28"/>
          <w:szCs w:val="28"/>
        </w:rPr>
        <w:t xml:space="preserve">З метою повного, всебічного і об’єктивного розгляду справ, постановою від </w:t>
      </w:r>
      <w:r w:rsidR="0050013D">
        <w:rPr>
          <w:sz w:val="28"/>
          <w:szCs w:val="28"/>
          <w:lang w:val="ru-RU"/>
        </w:rPr>
        <w:t>09</w:t>
      </w:r>
      <w:r>
        <w:rPr>
          <w:sz w:val="28"/>
          <w:szCs w:val="28"/>
          <w:lang w:val="ru-RU"/>
        </w:rPr>
        <w:t>.02.2022</w:t>
      </w:r>
      <w:r>
        <w:rPr>
          <w:sz w:val="28"/>
          <w:szCs w:val="28"/>
        </w:rPr>
        <w:t xml:space="preserve"> про об’єднання справ про правопорушення на  ринках капіталу та організованих товарних ринках в одне провадження, справи про правопорушення на  ринках капіталу та організованих товарних ринках у відношенні </w:t>
      </w:r>
      <w:r w:rsidR="0012751E" w:rsidRPr="0012751E">
        <w:rPr>
          <w:sz w:val="28"/>
          <w:szCs w:val="28"/>
        </w:rPr>
        <w:t xml:space="preserve">АТ «ГЕМОПЛАСТ» </w:t>
      </w:r>
      <w:r>
        <w:rPr>
          <w:sz w:val="28"/>
          <w:szCs w:val="28"/>
        </w:rPr>
        <w:t xml:space="preserve"> було об’єднано в одне провадження.</w:t>
      </w:r>
    </w:p>
    <w:p w:rsidR="002A735F" w:rsidRDefault="002A735F" w:rsidP="002A735F">
      <w:pPr>
        <w:ind w:firstLine="720"/>
        <w:jc w:val="both"/>
        <w:rPr>
          <w:sz w:val="28"/>
          <w:szCs w:val="28"/>
        </w:rPr>
      </w:pPr>
      <w:r>
        <w:rPr>
          <w:sz w:val="28"/>
          <w:szCs w:val="28"/>
        </w:rPr>
        <w:t>На дату розгляду справи про правопорушення на ринках капіталу та організованих товарних ринках товариство усунуло вищезазначені правопорушення.</w:t>
      </w:r>
    </w:p>
    <w:p w:rsidR="00EB71B1" w:rsidRPr="00EB71B1" w:rsidRDefault="00EB71B1" w:rsidP="00EB71B1">
      <w:pPr>
        <w:ind w:firstLine="720"/>
        <w:jc w:val="both"/>
        <w:rPr>
          <w:sz w:val="28"/>
          <w:szCs w:val="28"/>
        </w:rPr>
      </w:pPr>
      <w:r w:rsidRPr="00EB71B1">
        <w:rPr>
          <w:sz w:val="28"/>
          <w:szCs w:val="28"/>
        </w:rPr>
        <w:t>Відповідно до пункту 12 розділу І Правил розгляду справ про порушення вимог законодавства про ринки капіталу та організовані товарні ринки, застосування санкцій або інших заходів впливу, затверджених рішенням Комісії від 28.07.2020 №405  (далі – Правила №405), зокрема, у разі об'єднання справ про правопорушення, санкція застосовується в межах санкції або заходу впливу, встановленої за більш серйозне правопорушення з числа вчинених.</w:t>
      </w:r>
    </w:p>
    <w:p w:rsidR="004B7AF1" w:rsidRDefault="00EB71B1" w:rsidP="004B7AF1">
      <w:pPr>
        <w:ind w:firstLine="720"/>
        <w:jc w:val="both"/>
        <w:rPr>
          <w:sz w:val="28"/>
          <w:szCs w:val="28"/>
        </w:rPr>
      </w:pPr>
      <w:r w:rsidRPr="00EB71B1">
        <w:rPr>
          <w:sz w:val="28"/>
          <w:szCs w:val="28"/>
        </w:rPr>
        <w:t xml:space="preserve">Враховуючи вищевикладене, на підставі  пунктів 6, 7 частини 1 статті 11 Закону України «Про державне регулювання  ринків капіталу та організованих </w:t>
      </w:r>
      <w:bookmarkStart w:id="0" w:name="_GoBack"/>
      <w:bookmarkEnd w:id="0"/>
    </w:p>
    <w:p w:rsidR="009F5F1D" w:rsidRDefault="00EB71B1" w:rsidP="00877AF8">
      <w:pPr>
        <w:jc w:val="both"/>
        <w:rPr>
          <w:sz w:val="28"/>
          <w:szCs w:val="28"/>
        </w:rPr>
      </w:pPr>
      <w:r w:rsidRPr="00EB71B1">
        <w:rPr>
          <w:sz w:val="28"/>
          <w:szCs w:val="28"/>
        </w:rPr>
        <w:t>товарних ринків», пункту 12 розділу І та пункту 1 розділу XV Правил  №405</w:t>
      </w:r>
      <w:r w:rsidR="009F5F1D">
        <w:rPr>
          <w:sz w:val="28"/>
          <w:szCs w:val="28"/>
        </w:rPr>
        <w:t xml:space="preserve">,      </w:t>
      </w:r>
    </w:p>
    <w:p w:rsidR="009F5F1D" w:rsidRDefault="009F5F1D" w:rsidP="009F5F1D">
      <w:pPr>
        <w:shd w:val="clear" w:color="auto" w:fill="FFFFFF"/>
        <w:ind w:right="193" w:firstLine="567"/>
        <w:jc w:val="both"/>
        <w:outlineLvl w:val="2"/>
        <w:rPr>
          <w:bCs/>
          <w:color w:val="000000"/>
          <w:sz w:val="28"/>
          <w:szCs w:val="28"/>
        </w:rPr>
      </w:pPr>
    </w:p>
    <w:p w:rsidR="009F5F1D" w:rsidRDefault="009F5F1D" w:rsidP="009F5F1D">
      <w:pPr>
        <w:jc w:val="center"/>
        <w:rPr>
          <w:b/>
          <w:sz w:val="28"/>
          <w:szCs w:val="28"/>
        </w:rPr>
      </w:pPr>
      <w:r>
        <w:rPr>
          <w:b/>
          <w:sz w:val="28"/>
          <w:szCs w:val="28"/>
          <w:lang w:val="ru-RU"/>
        </w:rPr>
        <w:t>п</w:t>
      </w:r>
      <w:r>
        <w:rPr>
          <w:b/>
          <w:sz w:val="28"/>
          <w:szCs w:val="28"/>
        </w:rPr>
        <w:t xml:space="preserve"> о с </w:t>
      </w:r>
      <w:proofErr w:type="gramStart"/>
      <w:r>
        <w:rPr>
          <w:b/>
          <w:sz w:val="28"/>
          <w:szCs w:val="28"/>
        </w:rPr>
        <w:t>т</w:t>
      </w:r>
      <w:proofErr w:type="gramEnd"/>
      <w:r>
        <w:rPr>
          <w:b/>
          <w:sz w:val="28"/>
          <w:szCs w:val="28"/>
        </w:rPr>
        <w:t xml:space="preserve"> а н о в и </w:t>
      </w:r>
      <w:r>
        <w:rPr>
          <w:b/>
          <w:sz w:val="28"/>
          <w:szCs w:val="28"/>
          <w:lang w:val="ru-RU"/>
        </w:rPr>
        <w:t>в</w:t>
      </w:r>
      <w:r>
        <w:rPr>
          <w:b/>
          <w:sz w:val="28"/>
          <w:szCs w:val="28"/>
        </w:rPr>
        <w:t>:</w:t>
      </w:r>
    </w:p>
    <w:p w:rsidR="009F5F1D" w:rsidRDefault="009F5F1D" w:rsidP="009F5F1D">
      <w:pPr>
        <w:jc w:val="center"/>
        <w:rPr>
          <w:b/>
          <w:sz w:val="28"/>
          <w:szCs w:val="28"/>
        </w:rPr>
      </w:pPr>
    </w:p>
    <w:p w:rsidR="009F5F1D" w:rsidRPr="00D3206A" w:rsidRDefault="000753CF" w:rsidP="009F5F1D">
      <w:pPr>
        <w:pStyle w:val="a3"/>
        <w:spacing w:after="0"/>
        <w:ind w:left="0" w:firstLine="709"/>
        <w:jc w:val="both"/>
        <w:rPr>
          <w:color w:val="FF0000"/>
          <w:sz w:val="28"/>
          <w:szCs w:val="28"/>
        </w:rPr>
      </w:pPr>
      <w:r>
        <w:rPr>
          <w:sz w:val="28"/>
          <w:szCs w:val="28"/>
        </w:rPr>
        <w:t xml:space="preserve">1. За  </w:t>
      </w:r>
      <w:r w:rsidR="009F5F1D">
        <w:rPr>
          <w:sz w:val="28"/>
          <w:szCs w:val="28"/>
        </w:rPr>
        <w:t>розміщення</w:t>
      </w:r>
      <w:r>
        <w:rPr>
          <w:sz w:val="28"/>
          <w:szCs w:val="28"/>
        </w:rPr>
        <w:t xml:space="preserve"> не в повному обсязі</w:t>
      </w:r>
      <w:r w:rsidR="009F5F1D">
        <w:rPr>
          <w:sz w:val="28"/>
          <w:szCs w:val="28"/>
        </w:rPr>
        <w:t xml:space="preserve"> інформації у загальнодоступній інформаційній базі даних</w:t>
      </w:r>
      <w:r>
        <w:rPr>
          <w:sz w:val="28"/>
          <w:szCs w:val="28"/>
        </w:rPr>
        <w:t xml:space="preserve"> Комісії, </w:t>
      </w:r>
      <w:r w:rsidR="009F5F1D">
        <w:rPr>
          <w:sz w:val="28"/>
          <w:szCs w:val="28"/>
        </w:rPr>
        <w:t>подання</w:t>
      </w:r>
      <w:r>
        <w:rPr>
          <w:sz w:val="28"/>
          <w:szCs w:val="28"/>
        </w:rPr>
        <w:t xml:space="preserve"> не в повному обсязі</w:t>
      </w:r>
      <w:r w:rsidR="009F5F1D">
        <w:rPr>
          <w:sz w:val="28"/>
          <w:szCs w:val="28"/>
        </w:rPr>
        <w:t xml:space="preserve"> інформації до Комісії</w:t>
      </w:r>
      <w:r w:rsidR="00500ABC">
        <w:rPr>
          <w:sz w:val="28"/>
          <w:szCs w:val="28"/>
        </w:rPr>
        <w:t xml:space="preserve"> </w:t>
      </w:r>
      <w:r w:rsidR="009F5F1D">
        <w:rPr>
          <w:sz w:val="28"/>
          <w:szCs w:val="28"/>
        </w:rPr>
        <w:t>застосувати у відношенні</w:t>
      </w:r>
      <w:r w:rsidR="009F5F1D">
        <w:rPr>
          <w:noProof/>
          <w:sz w:val="28"/>
          <w:szCs w:val="28"/>
        </w:rPr>
        <w:t xml:space="preserve"> </w:t>
      </w:r>
      <w:r w:rsidR="00782C93" w:rsidRPr="00782C93">
        <w:rPr>
          <w:sz w:val="28"/>
          <w:szCs w:val="28"/>
        </w:rPr>
        <w:t xml:space="preserve">АТ «ГЕМОПЛАСТ» </w:t>
      </w:r>
      <w:r w:rsidR="009F5F1D">
        <w:rPr>
          <w:sz w:val="28"/>
          <w:szCs w:val="28"/>
        </w:rPr>
        <w:t>санкцію у вигляді штрафу у розмірі</w:t>
      </w:r>
      <w:r w:rsidR="009F5F1D" w:rsidRPr="00FC6F0C">
        <w:rPr>
          <w:sz w:val="28"/>
          <w:szCs w:val="28"/>
        </w:rPr>
        <w:t xml:space="preserve"> </w:t>
      </w:r>
      <w:r w:rsidR="00FC6F0C" w:rsidRPr="00FC6F0C">
        <w:rPr>
          <w:sz w:val="28"/>
          <w:szCs w:val="28"/>
        </w:rPr>
        <w:t>50</w:t>
      </w:r>
      <w:r w:rsidR="009F5F1D" w:rsidRPr="00FC6F0C">
        <w:rPr>
          <w:sz w:val="28"/>
          <w:szCs w:val="28"/>
        </w:rPr>
        <w:t xml:space="preserve"> неоподатковуваних мінімумів доходів громадян, що становить </w:t>
      </w:r>
      <w:r w:rsidR="00FC6F0C" w:rsidRPr="00FC6F0C">
        <w:rPr>
          <w:sz w:val="28"/>
          <w:szCs w:val="28"/>
        </w:rPr>
        <w:t>850</w:t>
      </w:r>
      <w:r w:rsidR="009F5F1D" w:rsidRPr="00FC6F0C">
        <w:rPr>
          <w:sz w:val="28"/>
          <w:szCs w:val="28"/>
        </w:rPr>
        <w:t xml:space="preserve"> (</w:t>
      </w:r>
      <w:r w:rsidR="00FC6F0C" w:rsidRPr="00FC6F0C">
        <w:rPr>
          <w:sz w:val="28"/>
          <w:szCs w:val="28"/>
        </w:rPr>
        <w:t>вісімсот п’ятдесят</w:t>
      </w:r>
      <w:r w:rsidR="009F5F1D" w:rsidRPr="00FC6F0C">
        <w:rPr>
          <w:sz w:val="28"/>
          <w:szCs w:val="28"/>
        </w:rPr>
        <w:t xml:space="preserve">) грн. 00 коп., який слід перерахувати на рахунок, відкритий в управлінні Державної казначейської служби України для зарахування надходжень до загального фонду державного бюджету за кодом класифікації доходів бюджету 21081100 «Адміністративні штрафи та інші санкції».  </w:t>
      </w:r>
    </w:p>
    <w:p w:rsidR="009F5F1D" w:rsidRDefault="009F5F1D" w:rsidP="009F5F1D">
      <w:pPr>
        <w:pStyle w:val="a3"/>
        <w:spacing w:after="0"/>
        <w:ind w:left="0" w:firstLine="709"/>
        <w:jc w:val="both"/>
        <w:rPr>
          <w:sz w:val="28"/>
          <w:szCs w:val="28"/>
        </w:rPr>
      </w:pPr>
      <w:r>
        <w:rPr>
          <w:sz w:val="28"/>
          <w:szCs w:val="28"/>
        </w:rPr>
        <w:t xml:space="preserve">2. Дану постанову направити </w:t>
      </w:r>
      <w:r w:rsidR="00A4530C" w:rsidRPr="00A4530C">
        <w:rPr>
          <w:sz w:val="28"/>
          <w:szCs w:val="28"/>
        </w:rPr>
        <w:t>АТ «ГЕМОПЛАСТ»</w:t>
      </w:r>
      <w:r>
        <w:rPr>
          <w:sz w:val="28"/>
          <w:szCs w:val="28"/>
        </w:rPr>
        <w:t xml:space="preserve">. </w:t>
      </w:r>
      <w:r>
        <w:rPr>
          <w:color w:val="000000"/>
          <w:sz w:val="28"/>
          <w:szCs w:val="28"/>
        </w:rPr>
        <w:t xml:space="preserve"> </w:t>
      </w:r>
      <w:r>
        <w:rPr>
          <w:sz w:val="28"/>
          <w:szCs w:val="28"/>
          <w:lang w:eastAsia="uk-UA"/>
        </w:rPr>
        <w:t xml:space="preserve"> </w:t>
      </w:r>
    </w:p>
    <w:p w:rsidR="009F5F1D" w:rsidRDefault="009F5F1D" w:rsidP="009F5F1D">
      <w:pPr>
        <w:tabs>
          <w:tab w:val="left" w:pos="360"/>
          <w:tab w:val="left" w:pos="720"/>
        </w:tabs>
        <w:jc w:val="both"/>
        <w:rPr>
          <w:sz w:val="28"/>
          <w:szCs w:val="26"/>
        </w:rPr>
      </w:pPr>
    </w:p>
    <w:p w:rsidR="009F5F1D" w:rsidRDefault="009F5F1D" w:rsidP="009F5F1D">
      <w:pPr>
        <w:tabs>
          <w:tab w:val="left" w:pos="360"/>
          <w:tab w:val="left" w:pos="720"/>
        </w:tabs>
        <w:ind w:firstLine="709"/>
        <w:jc w:val="both"/>
        <w:rPr>
          <w:sz w:val="26"/>
          <w:szCs w:val="26"/>
          <w:lang w:val="ru-RU" w:eastAsia="uk-UA"/>
        </w:rPr>
      </w:pPr>
      <w:r>
        <w:rPr>
          <w:color w:val="000000"/>
          <w:sz w:val="26"/>
          <w:szCs w:val="26"/>
        </w:rPr>
        <w:t>Дана постанова  набирає чинності з робочого дня, наступного за днем прийняття.</w:t>
      </w:r>
    </w:p>
    <w:p w:rsidR="009F5F1D" w:rsidRDefault="009F5F1D" w:rsidP="009F5F1D">
      <w:pPr>
        <w:pStyle w:val="mcntmsonormal"/>
        <w:shd w:val="clear" w:color="auto" w:fill="FFFFFF"/>
        <w:spacing w:before="0" w:beforeAutospacing="0" w:after="0" w:afterAutospacing="0"/>
        <w:ind w:firstLine="709"/>
        <w:jc w:val="both"/>
        <w:rPr>
          <w:rFonts w:ascii="Segoe UI" w:hAnsi="Segoe UI" w:cs="Segoe UI"/>
          <w:color w:val="000000"/>
          <w:sz w:val="26"/>
          <w:szCs w:val="26"/>
          <w:lang w:val="ru-RU"/>
        </w:rPr>
      </w:pPr>
      <w:r>
        <w:rPr>
          <w:color w:val="000000"/>
          <w:sz w:val="26"/>
          <w:szCs w:val="26"/>
        </w:rPr>
        <w:t>Юридичні особи сплачують штрафи та надсилають до департаменту правозастосування  Комісії документи, які це підтверджують, протягом місяця з дня набрання чинності постановою.</w:t>
      </w:r>
    </w:p>
    <w:p w:rsidR="009F5F1D" w:rsidRDefault="009F5F1D" w:rsidP="009F5F1D">
      <w:pPr>
        <w:pStyle w:val="mcntmsonormal"/>
        <w:shd w:val="clear" w:color="auto" w:fill="FFFFFF"/>
        <w:spacing w:before="0" w:beforeAutospacing="0" w:after="0" w:afterAutospacing="0"/>
        <w:ind w:firstLine="709"/>
        <w:jc w:val="both"/>
        <w:rPr>
          <w:rFonts w:ascii="Segoe UI" w:hAnsi="Segoe UI" w:cs="Segoe UI"/>
          <w:color w:val="000000"/>
          <w:sz w:val="26"/>
          <w:szCs w:val="26"/>
          <w:lang w:val="ru-RU"/>
        </w:rPr>
      </w:pPr>
      <w:r>
        <w:rPr>
          <w:color w:val="000000"/>
          <w:sz w:val="26"/>
          <w:szCs w:val="26"/>
        </w:rPr>
        <w:t>Постанову може бути оскаржено</w:t>
      </w:r>
      <w:r>
        <w:rPr>
          <w:color w:val="000000"/>
          <w:sz w:val="26"/>
          <w:szCs w:val="26"/>
          <w:lang w:val="ru-RU"/>
        </w:rPr>
        <w:t xml:space="preserve"> до </w:t>
      </w:r>
      <w:r>
        <w:rPr>
          <w:color w:val="000000"/>
          <w:sz w:val="26"/>
          <w:szCs w:val="26"/>
        </w:rPr>
        <w:t>суду у встановленому чинним законодавством порядку.</w:t>
      </w:r>
    </w:p>
    <w:p w:rsidR="009F5F1D" w:rsidRDefault="009F5F1D" w:rsidP="009F5F1D">
      <w:pPr>
        <w:pStyle w:val="mcntmsonormal"/>
        <w:shd w:val="clear" w:color="auto" w:fill="FFFFFF"/>
        <w:spacing w:before="0" w:beforeAutospacing="0" w:after="0" w:afterAutospacing="0"/>
        <w:ind w:firstLine="709"/>
        <w:jc w:val="both"/>
        <w:rPr>
          <w:rFonts w:ascii="Segoe UI" w:hAnsi="Segoe UI" w:cs="Segoe UI"/>
          <w:color w:val="000000"/>
          <w:sz w:val="26"/>
          <w:szCs w:val="26"/>
          <w:lang w:val="ru-RU"/>
        </w:rPr>
      </w:pPr>
      <w:r>
        <w:rPr>
          <w:color w:val="000000"/>
          <w:sz w:val="26"/>
          <w:szCs w:val="26"/>
        </w:rPr>
        <w:t>У випадку оскарження у судовому порядку постанови протягом місяця з дня набрання нею чинності юридична особа невідкладно повідомляє про це департамент правозастосування Комісії.</w:t>
      </w:r>
    </w:p>
    <w:p w:rsidR="009F5F1D" w:rsidRDefault="009F5F1D" w:rsidP="009F5F1D">
      <w:pPr>
        <w:pStyle w:val="mcntmsonormal"/>
        <w:shd w:val="clear" w:color="auto" w:fill="FFFFFF"/>
        <w:spacing w:before="0" w:beforeAutospacing="0" w:after="0" w:afterAutospacing="0"/>
        <w:ind w:firstLine="709"/>
        <w:jc w:val="both"/>
        <w:rPr>
          <w:color w:val="000000"/>
          <w:sz w:val="26"/>
          <w:szCs w:val="26"/>
        </w:rPr>
      </w:pPr>
      <w:r>
        <w:rPr>
          <w:color w:val="000000"/>
          <w:sz w:val="26"/>
          <w:szCs w:val="26"/>
        </w:rPr>
        <w:t>У разі якщо дану постанову  протягом місяця з дня набрання нею чинності не було виконано або не було оскаржено у судовому порядку, вона набуває статусу виконавчого документа, підлягає оформленню Національною комісією з цінних паперів та фондового ринку відповідно до вимог Закону України "Про виконавче провадження" та передається до органів державної виконавчої служби для примусового виконання згідно із законодавством.</w:t>
      </w:r>
    </w:p>
    <w:p w:rsidR="009F5F1D" w:rsidRDefault="009F5F1D" w:rsidP="009F5F1D">
      <w:pPr>
        <w:pStyle w:val="mcntmsonormal"/>
        <w:shd w:val="clear" w:color="auto" w:fill="FFFFFF"/>
        <w:spacing w:before="0" w:beforeAutospacing="0" w:after="0" w:afterAutospacing="0"/>
        <w:ind w:firstLine="709"/>
        <w:jc w:val="both"/>
        <w:rPr>
          <w:color w:val="000000"/>
          <w:sz w:val="26"/>
          <w:szCs w:val="26"/>
        </w:rPr>
      </w:pPr>
    </w:p>
    <w:p w:rsidR="009F5F1D" w:rsidRDefault="009F5F1D" w:rsidP="009F5F1D">
      <w:pPr>
        <w:jc w:val="both"/>
        <w:rPr>
          <w:color w:val="000000"/>
          <w:sz w:val="28"/>
          <w:szCs w:val="28"/>
        </w:rPr>
      </w:pPr>
    </w:p>
    <w:p w:rsidR="009F5F1D" w:rsidRDefault="009F5F1D" w:rsidP="009F5F1D">
      <w:pPr>
        <w:jc w:val="both"/>
        <w:rPr>
          <w:b/>
          <w:sz w:val="28"/>
          <w:szCs w:val="28"/>
        </w:rPr>
      </w:pPr>
    </w:p>
    <w:p w:rsidR="009F5F1D" w:rsidRDefault="009F5F1D" w:rsidP="009F5F1D">
      <w:pPr>
        <w:jc w:val="both"/>
        <w:rPr>
          <w:b/>
          <w:sz w:val="28"/>
          <w:szCs w:val="28"/>
        </w:rPr>
      </w:pPr>
      <w:r>
        <w:rPr>
          <w:b/>
          <w:sz w:val="28"/>
          <w:szCs w:val="28"/>
        </w:rPr>
        <w:t xml:space="preserve">Уповноважена особа Комісії                         </w:t>
      </w:r>
      <w:r w:rsidR="00554001">
        <w:rPr>
          <w:b/>
          <w:sz w:val="28"/>
          <w:szCs w:val="28"/>
        </w:rPr>
        <w:t xml:space="preserve">                               </w:t>
      </w:r>
      <w:r w:rsidR="00C90F2B">
        <w:rPr>
          <w:b/>
          <w:sz w:val="28"/>
          <w:szCs w:val="28"/>
        </w:rPr>
        <w:t>Ю.І</w:t>
      </w:r>
      <w:r>
        <w:rPr>
          <w:b/>
          <w:sz w:val="28"/>
          <w:szCs w:val="28"/>
        </w:rPr>
        <w:t xml:space="preserve">. </w:t>
      </w:r>
      <w:r w:rsidR="00C90F2B">
        <w:rPr>
          <w:b/>
          <w:sz w:val="28"/>
          <w:szCs w:val="28"/>
        </w:rPr>
        <w:t>Шаповал</w:t>
      </w:r>
    </w:p>
    <w:p w:rsidR="009F5F1D" w:rsidRDefault="009F5F1D" w:rsidP="009F5F1D">
      <w:pPr>
        <w:jc w:val="both"/>
        <w:rPr>
          <w:b/>
          <w:sz w:val="28"/>
          <w:szCs w:val="28"/>
        </w:rPr>
      </w:pPr>
      <w:r>
        <w:rPr>
          <w:b/>
          <w:sz w:val="28"/>
          <w:szCs w:val="28"/>
        </w:rPr>
        <w:t xml:space="preserve"> </w:t>
      </w:r>
    </w:p>
    <w:p w:rsidR="00B57255" w:rsidRDefault="00B57255"/>
    <w:sectPr w:rsidR="00B572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47"/>
    <w:rsid w:val="000753CF"/>
    <w:rsid w:val="000912E5"/>
    <w:rsid w:val="001036D2"/>
    <w:rsid w:val="0012751E"/>
    <w:rsid w:val="00153EA2"/>
    <w:rsid w:val="001569D9"/>
    <w:rsid w:val="001D40B2"/>
    <w:rsid w:val="002A735F"/>
    <w:rsid w:val="00304847"/>
    <w:rsid w:val="00382137"/>
    <w:rsid w:val="00442CB3"/>
    <w:rsid w:val="004B7AF1"/>
    <w:rsid w:val="0050013D"/>
    <w:rsid w:val="00500ABC"/>
    <w:rsid w:val="00516F89"/>
    <w:rsid w:val="00554001"/>
    <w:rsid w:val="00690CA6"/>
    <w:rsid w:val="00782C93"/>
    <w:rsid w:val="00811D3F"/>
    <w:rsid w:val="00877AF8"/>
    <w:rsid w:val="008B45AA"/>
    <w:rsid w:val="00973735"/>
    <w:rsid w:val="009D05F0"/>
    <w:rsid w:val="009F5F1D"/>
    <w:rsid w:val="00A01199"/>
    <w:rsid w:val="00A4530C"/>
    <w:rsid w:val="00B57255"/>
    <w:rsid w:val="00B66676"/>
    <w:rsid w:val="00B73F50"/>
    <w:rsid w:val="00BF7D95"/>
    <w:rsid w:val="00C90F2B"/>
    <w:rsid w:val="00D20385"/>
    <w:rsid w:val="00D3206A"/>
    <w:rsid w:val="00D479D0"/>
    <w:rsid w:val="00D76DFD"/>
    <w:rsid w:val="00DF5975"/>
    <w:rsid w:val="00E14623"/>
    <w:rsid w:val="00EB71B1"/>
    <w:rsid w:val="00F8540F"/>
    <w:rsid w:val="00FC6F0C"/>
    <w:rsid w:val="00FD19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52B0"/>
  <w15:chartTrackingRefBased/>
  <w15:docId w15:val="{5D1D802E-0928-4928-BE4D-97C5FC13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F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F5F1D"/>
    <w:pPr>
      <w:spacing w:after="120"/>
      <w:ind w:left="283"/>
    </w:pPr>
  </w:style>
  <w:style w:type="character" w:customStyle="1" w:styleId="a4">
    <w:name w:val="Основний текст з відступом Знак"/>
    <w:basedOn w:val="a0"/>
    <w:link w:val="a3"/>
    <w:semiHidden/>
    <w:rsid w:val="009F5F1D"/>
    <w:rPr>
      <w:rFonts w:ascii="Times New Roman" w:eastAsia="Times New Roman" w:hAnsi="Times New Roman" w:cs="Times New Roman"/>
      <w:sz w:val="20"/>
      <w:szCs w:val="20"/>
      <w:lang w:eastAsia="ru-RU"/>
    </w:rPr>
  </w:style>
  <w:style w:type="paragraph" w:customStyle="1" w:styleId="1">
    <w:name w:val="Звичайний1"/>
    <w:rsid w:val="009F5F1D"/>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
    <w:rsid w:val="009F5F1D"/>
    <w:pPr>
      <w:widowControl/>
      <w:snapToGrid/>
      <w:ind w:firstLine="851"/>
      <w:jc w:val="both"/>
    </w:pPr>
    <w:rPr>
      <w:sz w:val="28"/>
      <w:lang w:val="ru-RU" w:eastAsia="ru-RU"/>
    </w:rPr>
  </w:style>
  <w:style w:type="paragraph" w:customStyle="1" w:styleId="mcntmsonormal">
    <w:name w:val="mcntmsonormal"/>
    <w:basedOn w:val="a"/>
    <w:rsid w:val="009F5F1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64501">
      <w:bodyDiv w:val="1"/>
      <w:marLeft w:val="0"/>
      <w:marRight w:val="0"/>
      <w:marTop w:val="0"/>
      <w:marBottom w:val="0"/>
      <w:divBdr>
        <w:top w:val="none" w:sz="0" w:space="0" w:color="auto"/>
        <w:left w:val="none" w:sz="0" w:space="0" w:color="auto"/>
        <w:bottom w:val="none" w:sz="0" w:space="0" w:color="auto"/>
        <w:right w:val="none" w:sz="0" w:space="0" w:color="auto"/>
      </w:divBdr>
    </w:div>
    <w:div w:id="16828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8612</Words>
  <Characters>4909</Characters>
  <Application>Microsoft Office Word</Application>
  <DocSecurity>0</DocSecurity>
  <Lines>40</Lines>
  <Paragraphs>26</Paragraphs>
  <ScaleCrop>false</ScaleCrop>
  <Company>NSSMC</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Осташко</dc:creator>
  <cp:keywords/>
  <dc:description/>
  <cp:lastModifiedBy>Ольга Осташко</cp:lastModifiedBy>
  <cp:revision>45</cp:revision>
  <dcterms:created xsi:type="dcterms:W3CDTF">2022-02-10T07:22:00Z</dcterms:created>
  <dcterms:modified xsi:type="dcterms:W3CDTF">2022-02-11T13:23:00Z</dcterms:modified>
</cp:coreProperties>
</file>